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B610" w14:textId="6C946A83" w:rsidR="005245C0" w:rsidRPr="005245C0" w:rsidRDefault="005245C0" w:rsidP="005245C0">
      <w:pPr>
        <w:spacing w:after="160" w:line="259" w:lineRule="auto"/>
        <w:jc w:val="center"/>
        <w:rPr>
          <w:rFonts w:eastAsia="Calibri" w:cstheme="minorHAnsi"/>
          <w:b/>
          <w:bCs/>
        </w:rPr>
      </w:pPr>
    </w:p>
    <w:p w14:paraId="6B447E9E" w14:textId="27756C2A" w:rsidR="005245C0" w:rsidRDefault="005245C0" w:rsidP="005245C0">
      <w:pPr>
        <w:spacing w:after="160" w:line="259" w:lineRule="auto"/>
        <w:jc w:val="center"/>
        <w:rPr>
          <w:rFonts w:eastAsia="Calibri" w:cstheme="minorHAnsi"/>
          <w:b/>
          <w:bCs/>
        </w:rPr>
      </w:pPr>
      <w:r w:rsidRPr="005245C0">
        <w:rPr>
          <w:rFonts w:eastAsia="Calibri" w:cstheme="minorHAnsi"/>
          <w:b/>
          <w:bCs/>
        </w:rPr>
        <w:t>XXX</w:t>
      </w:r>
      <w:r w:rsidR="00570E7B">
        <w:rPr>
          <w:rFonts w:eastAsia="Calibri" w:cstheme="minorHAnsi"/>
          <w:b/>
          <w:bCs/>
        </w:rPr>
        <w:t>I</w:t>
      </w:r>
      <w:r w:rsidRPr="005245C0">
        <w:rPr>
          <w:rFonts w:eastAsia="Calibri" w:cstheme="minorHAnsi"/>
          <w:b/>
          <w:bCs/>
        </w:rPr>
        <w:t xml:space="preserve"> JORNADAS EXTRANJERÍA Y PROTECCIÓN INTERNACIONAL</w:t>
      </w:r>
    </w:p>
    <w:p w14:paraId="5282C5C3" w14:textId="77777777" w:rsidR="00C43FA0" w:rsidRDefault="00C43FA0" w:rsidP="005245C0">
      <w:pPr>
        <w:spacing w:after="160" w:line="259" w:lineRule="auto"/>
        <w:jc w:val="both"/>
        <w:rPr>
          <w:rFonts w:eastAsia="Calibri" w:cstheme="minorHAnsi"/>
          <w:b/>
          <w:bCs/>
        </w:rPr>
      </w:pPr>
    </w:p>
    <w:p w14:paraId="2B64EA1D" w14:textId="34E8654B" w:rsidR="005245C0" w:rsidRDefault="005245C0" w:rsidP="005245C0">
      <w:pPr>
        <w:spacing w:after="160" w:line="259" w:lineRule="auto"/>
        <w:jc w:val="both"/>
        <w:rPr>
          <w:rFonts w:eastAsia="Calibri" w:cstheme="minorHAnsi"/>
          <w:b/>
          <w:bCs/>
        </w:rPr>
      </w:pPr>
      <w:r w:rsidRPr="005245C0">
        <w:rPr>
          <w:rFonts w:eastAsia="Calibri" w:cstheme="minorHAnsi"/>
          <w:b/>
          <w:bCs/>
        </w:rPr>
        <w:t xml:space="preserve">CONCLUSIONES </w:t>
      </w:r>
      <w:r w:rsidR="00570E7B">
        <w:rPr>
          <w:rFonts w:eastAsia="Calibri" w:cstheme="minorHAnsi"/>
          <w:b/>
          <w:bCs/>
        </w:rPr>
        <w:t xml:space="preserve">MESAS Y </w:t>
      </w:r>
      <w:r w:rsidRPr="005245C0">
        <w:rPr>
          <w:rFonts w:eastAsia="Calibri" w:cstheme="minorHAnsi"/>
          <w:b/>
          <w:bCs/>
        </w:rPr>
        <w:t>TALLERES:</w:t>
      </w:r>
    </w:p>
    <w:p w14:paraId="04A08D9F" w14:textId="0B2253E0" w:rsidR="00FB665F" w:rsidRPr="00FB665F" w:rsidRDefault="00FB665F" w:rsidP="005245C0">
      <w:pPr>
        <w:spacing w:after="160" w:line="259" w:lineRule="auto"/>
        <w:jc w:val="both"/>
        <w:rPr>
          <w:rFonts w:eastAsia="Calibri" w:cstheme="minorHAnsi"/>
          <w:b/>
          <w:bCs/>
          <w:u w:val="single"/>
        </w:rPr>
      </w:pPr>
      <w:r w:rsidRPr="00FB665F">
        <w:rPr>
          <w:rFonts w:eastAsia="Calibri" w:cstheme="minorHAnsi"/>
          <w:b/>
          <w:bCs/>
          <w:u w:val="single"/>
        </w:rPr>
        <w:t>1.- PACTO MIGRATORIO.</w:t>
      </w:r>
    </w:p>
    <w:p w14:paraId="3E594F2E" w14:textId="6927E900" w:rsidR="00FB665F" w:rsidRDefault="00FB665F" w:rsidP="005245C0">
      <w:pPr>
        <w:spacing w:after="160" w:line="259" w:lineRule="auto"/>
        <w:jc w:val="both"/>
        <w:rPr>
          <w:rFonts w:eastAsia="Calibri" w:cstheme="minorHAnsi"/>
        </w:rPr>
      </w:pPr>
      <w:r>
        <w:rPr>
          <w:rFonts w:eastAsia="Calibri" w:cstheme="minorHAnsi"/>
        </w:rPr>
        <w:t xml:space="preserve">1.- La Abogacía solicita </w:t>
      </w:r>
      <w:r w:rsidR="00666BE3">
        <w:rPr>
          <w:rFonts w:eastAsia="Calibri" w:cstheme="minorHAnsi"/>
        </w:rPr>
        <w:t xml:space="preserve">que </w:t>
      </w:r>
      <w:r>
        <w:rPr>
          <w:rFonts w:eastAsia="Calibri" w:cstheme="minorHAnsi"/>
        </w:rPr>
        <w:t xml:space="preserve">la adopción de los acuerdos para el pacto migratorio en el seno de la Unión </w:t>
      </w:r>
      <w:proofErr w:type="gramStart"/>
      <w:r>
        <w:rPr>
          <w:rFonts w:eastAsia="Calibri" w:cstheme="minorHAnsi"/>
        </w:rPr>
        <w:t>Europea,</w:t>
      </w:r>
      <w:proofErr w:type="gramEnd"/>
      <w:r>
        <w:rPr>
          <w:rFonts w:eastAsia="Calibri" w:cstheme="minorHAnsi"/>
        </w:rPr>
        <w:t xml:space="preserve"> no solo contemple la solidaridad entre todos los países, sino por encima de ello la solidaridad con las personas migrantes, seres vulnerables, que precisan todas ellas el apoyo de todas las sociedades.</w:t>
      </w:r>
    </w:p>
    <w:p w14:paraId="3D1439E0" w14:textId="23F5C8DD" w:rsidR="00FB665F" w:rsidRDefault="00FB665F" w:rsidP="005245C0">
      <w:pPr>
        <w:spacing w:after="160" w:line="259" w:lineRule="auto"/>
        <w:jc w:val="both"/>
        <w:rPr>
          <w:rFonts w:eastAsia="Calibri" w:cstheme="minorHAnsi"/>
        </w:rPr>
      </w:pPr>
      <w:r>
        <w:rPr>
          <w:rFonts w:eastAsia="Calibri" w:cstheme="minorHAnsi"/>
        </w:rPr>
        <w:t xml:space="preserve">2.- Solicitamos que cualquier acuerdo o </w:t>
      </w:r>
      <w:r w:rsidR="00C43FA0">
        <w:rPr>
          <w:rFonts w:eastAsia="Calibri" w:cstheme="minorHAnsi"/>
        </w:rPr>
        <w:t>disposición</w:t>
      </w:r>
      <w:r>
        <w:rPr>
          <w:rFonts w:eastAsia="Calibri" w:cstheme="minorHAnsi"/>
        </w:rPr>
        <w:t xml:space="preserve"> normativa en el seno de la UE garantice siempre el derecho </w:t>
      </w:r>
      <w:r w:rsidR="00C43FA0">
        <w:rPr>
          <w:rFonts w:eastAsia="Calibri" w:cstheme="minorHAnsi"/>
        </w:rPr>
        <w:t>fundamental</w:t>
      </w:r>
      <w:r>
        <w:rPr>
          <w:rFonts w:eastAsia="Calibri" w:cstheme="minorHAnsi"/>
        </w:rPr>
        <w:t xml:space="preserve"> de </w:t>
      </w:r>
      <w:r w:rsidR="00C43FA0">
        <w:rPr>
          <w:rFonts w:eastAsia="Calibri" w:cstheme="minorHAnsi"/>
        </w:rPr>
        <w:t>asistencia</w:t>
      </w:r>
      <w:r>
        <w:rPr>
          <w:rFonts w:eastAsia="Calibri" w:cstheme="minorHAnsi"/>
        </w:rPr>
        <w:t xml:space="preserve"> jurídica y defensa de las personas migrantes</w:t>
      </w:r>
      <w:r w:rsidR="00C43FA0">
        <w:rPr>
          <w:rFonts w:eastAsia="Calibri" w:cstheme="minorHAnsi"/>
        </w:rPr>
        <w:t xml:space="preserve"> y refugiadas</w:t>
      </w:r>
      <w:r>
        <w:rPr>
          <w:rFonts w:eastAsia="Calibri" w:cstheme="minorHAnsi"/>
        </w:rPr>
        <w:t>.</w:t>
      </w:r>
    </w:p>
    <w:p w14:paraId="5B74A419" w14:textId="77777777" w:rsidR="00C43FA0" w:rsidRDefault="00C43FA0" w:rsidP="005245C0">
      <w:pPr>
        <w:spacing w:after="0" w:line="240" w:lineRule="auto"/>
        <w:ind w:right="134"/>
        <w:jc w:val="both"/>
        <w:rPr>
          <w:rFonts w:eastAsia="Calibri" w:cstheme="minorHAnsi"/>
          <w:b/>
          <w:bCs/>
          <w:color w:val="000000"/>
          <w:u w:val="single"/>
        </w:rPr>
      </w:pPr>
    </w:p>
    <w:p w14:paraId="407F6EA3" w14:textId="32332015" w:rsidR="00570E7B" w:rsidRDefault="00C43FA0" w:rsidP="005245C0">
      <w:pPr>
        <w:spacing w:after="0" w:line="240" w:lineRule="auto"/>
        <w:ind w:right="134"/>
        <w:jc w:val="both"/>
        <w:rPr>
          <w:rFonts w:eastAsia="Calibri" w:cstheme="minorHAnsi"/>
          <w:b/>
          <w:bCs/>
          <w:color w:val="000000"/>
          <w:u w:val="single"/>
        </w:rPr>
      </w:pPr>
      <w:r>
        <w:rPr>
          <w:rFonts w:eastAsia="Calibri" w:cstheme="minorHAnsi"/>
          <w:b/>
          <w:bCs/>
          <w:color w:val="000000"/>
          <w:u w:val="single"/>
        </w:rPr>
        <w:t>2</w:t>
      </w:r>
      <w:r w:rsidR="00570E7B" w:rsidRPr="005245C0">
        <w:rPr>
          <w:rFonts w:eastAsia="Calibri" w:cstheme="minorHAnsi"/>
          <w:b/>
          <w:bCs/>
          <w:color w:val="000000"/>
          <w:u w:val="single"/>
        </w:rPr>
        <w:t xml:space="preserve">.- </w:t>
      </w:r>
      <w:r w:rsidR="00570E7B" w:rsidRPr="00570E7B">
        <w:rPr>
          <w:rFonts w:eastAsia="Calibri" w:cstheme="minorHAnsi"/>
          <w:b/>
          <w:bCs/>
          <w:color w:val="000000"/>
          <w:u w:val="single"/>
        </w:rPr>
        <w:t>ARRAIGO. ANÁLISIS Y REVISIÓN DE LA APLICACIÓN DE LAS ÚLTIMAS REFORMAS DEL REGLAMENTO DE EXTRANJERÍA EN LOS ARRAIGOS SOCIAL, FAMILIAR, LABORAL Y FORMATIVO.</w:t>
      </w:r>
    </w:p>
    <w:p w14:paraId="6083753F" w14:textId="77777777" w:rsidR="008F4D1C" w:rsidRDefault="008F4D1C" w:rsidP="005245C0">
      <w:pPr>
        <w:spacing w:after="0" w:line="240" w:lineRule="auto"/>
        <w:ind w:right="134"/>
        <w:jc w:val="both"/>
        <w:rPr>
          <w:rFonts w:eastAsia="Calibri" w:cstheme="minorHAnsi"/>
          <w:b/>
          <w:bCs/>
          <w:color w:val="000000"/>
          <w:u w:val="single"/>
        </w:rPr>
      </w:pPr>
    </w:p>
    <w:p w14:paraId="6A2130F2" w14:textId="77777777" w:rsidR="008F4D1C" w:rsidRDefault="008F4D1C" w:rsidP="008F4D1C">
      <w:pPr>
        <w:jc w:val="both"/>
        <w:rPr>
          <w:rFonts w:eastAsia="Times New Roman"/>
        </w:rPr>
      </w:pPr>
      <w:r>
        <w:rPr>
          <w:rFonts w:eastAsia="Times New Roman"/>
        </w:rPr>
        <w:t>La Abogacía Española concluye en relación con la reforma operada en el Reglamento de Extranjería a través del RD 629/2022, de 26 de julio:</w:t>
      </w:r>
    </w:p>
    <w:p w14:paraId="6EBEE964" w14:textId="4F732FCA" w:rsidR="008F4D1C" w:rsidRDefault="008F4D1C" w:rsidP="008F4D1C">
      <w:pPr>
        <w:jc w:val="both"/>
        <w:rPr>
          <w:rFonts w:eastAsia="Times New Roman"/>
        </w:rPr>
      </w:pPr>
      <w:r>
        <w:rPr>
          <w:rFonts w:eastAsia="Times New Roman"/>
        </w:rPr>
        <w:t>1.- Que el contrato de trabajo a presentar para la obtención</w:t>
      </w:r>
      <w:r w:rsidR="00FB665F">
        <w:rPr>
          <w:rFonts w:eastAsia="Times New Roman"/>
        </w:rPr>
        <w:t xml:space="preserve"> </w:t>
      </w:r>
      <w:r>
        <w:rPr>
          <w:rFonts w:eastAsia="Times New Roman"/>
        </w:rPr>
        <w:t>del arraigo social no debiera circunscribirse, única y exclusivamente, al contrato indefinido. Debieran permitirse todas las modalidades de contratación contempladas en la normativa laboral.</w:t>
      </w:r>
    </w:p>
    <w:p w14:paraId="2D0C8609" w14:textId="323E7FAA" w:rsidR="008F4D1C" w:rsidRDefault="008F4D1C" w:rsidP="008F4D1C">
      <w:pPr>
        <w:jc w:val="both"/>
        <w:rPr>
          <w:rFonts w:eastAsia="Times New Roman"/>
        </w:rPr>
      </w:pPr>
      <w:r>
        <w:rPr>
          <w:rFonts w:eastAsia="Times New Roman"/>
        </w:rPr>
        <w:t xml:space="preserve">2.- Que el arraigo familiar no es incompatible con </w:t>
      </w:r>
      <w:r w:rsidR="00F462F1">
        <w:rPr>
          <w:rFonts w:eastAsia="Times New Roman"/>
        </w:rPr>
        <w:t>el trámite familiar comunitario de la UE</w:t>
      </w:r>
      <w:r>
        <w:rPr>
          <w:rFonts w:eastAsia="Times New Roman"/>
        </w:rPr>
        <w:t xml:space="preserve">, para los familiares de españoles nacionales de terceros estados. </w:t>
      </w:r>
    </w:p>
    <w:p w14:paraId="547EBF8A" w14:textId="77777777" w:rsidR="008F4D1C" w:rsidRDefault="008F4D1C" w:rsidP="008F4D1C">
      <w:pPr>
        <w:jc w:val="both"/>
        <w:rPr>
          <w:rFonts w:eastAsia="Times New Roman"/>
        </w:rPr>
      </w:pPr>
      <w:r>
        <w:rPr>
          <w:rFonts w:eastAsia="Times New Roman"/>
        </w:rPr>
        <w:t>La exigencia de “estar a cargo” para los descendientes mayores de 21 años y ascendientes menores de 65 años, no debiera exigirse en el país de origen, toda vez que estos familiares se encuentran ya en España.</w:t>
      </w:r>
    </w:p>
    <w:p w14:paraId="48301C1D" w14:textId="77777777" w:rsidR="00666BE3" w:rsidRDefault="008F4D1C" w:rsidP="008F4D1C">
      <w:pPr>
        <w:jc w:val="both"/>
        <w:rPr>
          <w:rFonts w:eastAsia="Times New Roman"/>
        </w:rPr>
      </w:pPr>
      <w:r>
        <w:rPr>
          <w:rFonts w:eastAsia="Times New Roman"/>
        </w:rPr>
        <w:t xml:space="preserve">3.- Respecto al arraigo laboral: </w:t>
      </w:r>
    </w:p>
    <w:p w14:paraId="69BFEC26" w14:textId="77777777" w:rsidR="00666BE3" w:rsidRDefault="008F4D1C" w:rsidP="008F4D1C">
      <w:pPr>
        <w:jc w:val="both"/>
        <w:rPr>
          <w:rFonts w:eastAsia="Times New Roman"/>
        </w:rPr>
      </w:pPr>
      <w:r>
        <w:rPr>
          <w:rFonts w:eastAsia="Times New Roman"/>
        </w:rPr>
        <w:t>a) La irregularidad requerida para poder cursar esta autorización a los solicitantes de protección internacional no debiera exigir la admisión por la Administración del desistimiento del recurso de reposición interpuesto contra la denegación de la protección internacional</w:t>
      </w:r>
      <w:r w:rsidR="00666BE3">
        <w:rPr>
          <w:rFonts w:eastAsia="Times New Roman"/>
        </w:rPr>
        <w:t>.</w:t>
      </w:r>
    </w:p>
    <w:p w14:paraId="1D86FAC9" w14:textId="4D3E4A94" w:rsidR="008F4D1C" w:rsidRDefault="008F4D1C" w:rsidP="008F4D1C">
      <w:pPr>
        <w:jc w:val="both"/>
        <w:rPr>
          <w:rFonts w:eastAsia="Times New Roman"/>
        </w:rPr>
      </w:pPr>
      <w:r>
        <w:rPr>
          <w:rFonts w:eastAsia="Times New Roman"/>
        </w:rPr>
        <w:t>b) A la espera del pronunciamiento correspondiente del TS, debiera permitirse la compatibilidad de est</w:t>
      </w:r>
      <w:r w:rsidR="00717043">
        <w:rPr>
          <w:rFonts w:eastAsia="Times New Roman"/>
        </w:rPr>
        <w:t>e</w:t>
      </w:r>
      <w:r>
        <w:rPr>
          <w:rFonts w:eastAsia="Times New Roman"/>
        </w:rPr>
        <w:t xml:space="preserve"> tipo de arraigo, con la situación en que se hallan los solicitantes de protección internacional, toda vez que el régimen general de extranjería no es incompatible con el asilo.</w:t>
      </w:r>
    </w:p>
    <w:p w14:paraId="388ACAFA" w14:textId="77777777" w:rsidR="00570E7B" w:rsidRDefault="00570E7B" w:rsidP="005245C0">
      <w:pPr>
        <w:spacing w:after="0" w:line="240" w:lineRule="auto"/>
        <w:ind w:right="134"/>
        <w:jc w:val="both"/>
        <w:rPr>
          <w:rFonts w:eastAsia="Calibri" w:cstheme="minorHAnsi"/>
          <w:b/>
          <w:bCs/>
          <w:color w:val="000000"/>
          <w:u w:val="single"/>
        </w:rPr>
      </w:pPr>
    </w:p>
    <w:p w14:paraId="6E1653EE" w14:textId="3214ECE4" w:rsidR="00570E7B" w:rsidRDefault="00C43FA0" w:rsidP="00570E7B">
      <w:pPr>
        <w:spacing w:after="0" w:line="240" w:lineRule="auto"/>
        <w:ind w:right="134"/>
        <w:jc w:val="both"/>
        <w:rPr>
          <w:rFonts w:eastAsia="Calibri" w:cstheme="minorHAnsi"/>
          <w:b/>
          <w:bCs/>
          <w:u w:val="single"/>
        </w:rPr>
      </w:pPr>
      <w:r>
        <w:rPr>
          <w:rFonts w:eastAsia="Calibri" w:cstheme="minorHAnsi"/>
          <w:b/>
          <w:bCs/>
          <w:u w:val="single"/>
        </w:rPr>
        <w:t>3</w:t>
      </w:r>
      <w:r w:rsidR="00570E7B" w:rsidRPr="00570E7B">
        <w:rPr>
          <w:rFonts w:eastAsia="Calibri" w:cstheme="minorHAnsi"/>
          <w:b/>
          <w:bCs/>
          <w:u w:val="single"/>
        </w:rPr>
        <w:t>.-</w:t>
      </w:r>
      <w:r w:rsidR="00570E7B" w:rsidRPr="00570E7B">
        <w:rPr>
          <w:b/>
          <w:bCs/>
          <w:u w:val="single"/>
        </w:rPr>
        <w:t xml:space="preserve"> </w:t>
      </w:r>
      <w:r w:rsidR="00570E7B" w:rsidRPr="00570E7B">
        <w:rPr>
          <w:rFonts w:eastAsia="Calibri" w:cstheme="minorHAnsi"/>
          <w:b/>
          <w:bCs/>
          <w:u w:val="single"/>
        </w:rPr>
        <w:t>LOS PELIGROS DEL RECURSO DE CASACIÓN MAL PLANTEADO.</w:t>
      </w:r>
    </w:p>
    <w:p w14:paraId="1C97E923" w14:textId="0AD79AA4" w:rsidR="008F4D1C" w:rsidRDefault="008F4D1C" w:rsidP="00570E7B">
      <w:pPr>
        <w:spacing w:after="0" w:line="240" w:lineRule="auto"/>
        <w:ind w:right="134"/>
        <w:jc w:val="both"/>
        <w:rPr>
          <w:rFonts w:eastAsia="Calibri" w:cstheme="minorHAnsi"/>
          <w:b/>
          <w:bCs/>
          <w:u w:val="single"/>
        </w:rPr>
      </w:pPr>
    </w:p>
    <w:p w14:paraId="0C543E87" w14:textId="3699221F" w:rsidR="008F4D1C" w:rsidRDefault="008F4D1C" w:rsidP="00570E7B">
      <w:pPr>
        <w:spacing w:after="0" w:line="240" w:lineRule="auto"/>
        <w:ind w:right="134"/>
        <w:jc w:val="both"/>
        <w:rPr>
          <w:rFonts w:eastAsia="Calibri" w:cstheme="minorHAnsi"/>
        </w:rPr>
      </w:pPr>
      <w:r>
        <w:rPr>
          <w:rFonts w:eastAsia="Calibri" w:cstheme="minorHAnsi"/>
        </w:rPr>
        <w:t xml:space="preserve">1.- El recurso de casación es de naturaleza extraordinaria que matiza, unifica los vacíos y contradicciones de la Ley en materia de extranjería. El escrito de preparación es la herramienta más eficaz </w:t>
      </w:r>
      <w:r w:rsidR="00440EFE">
        <w:rPr>
          <w:rFonts w:eastAsia="Calibri" w:cstheme="minorHAnsi"/>
        </w:rPr>
        <w:t>para culminar con éxito el recurso.</w:t>
      </w:r>
    </w:p>
    <w:p w14:paraId="7E1C1E1B" w14:textId="17BBDF82" w:rsidR="00440EFE" w:rsidRDefault="00440EFE" w:rsidP="00570E7B">
      <w:pPr>
        <w:spacing w:after="0" w:line="240" w:lineRule="auto"/>
        <w:ind w:right="134"/>
        <w:jc w:val="both"/>
        <w:rPr>
          <w:rFonts w:eastAsia="Calibri" w:cstheme="minorHAnsi"/>
        </w:rPr>
      </w:pPr>
    </w:p>
    <w:p w14:paraId="1D7A2EB5" w14:textId="16737DA6" w:rsidR="00440EFE" w:rsidRPr="008F4D1C" w:rsidRDefault="00440EFE" w:rsidP="00570E7B">
      <w:pPr>
        <w:spacing w:after="0" w:line="240" w:lineRule="auto"/>
        <w:ind w:right="134"/>
        <w:jc w:val="both"/>
        <w:rPr>
          <w:rFonts w:eastAsia="Calibri" w:cstheme="minorHAnsi"/>
        </w:rPr>
      </w:pPr>
      <w:r>
        <w:rPr>
          <w:rFonts w:eastAsia="Calibri" w:cstheme="minorHAnsi"/>
        </w:rPr>
        <w:t>2.- Gracias a la jurisprudencia del TS se han conseguido avances, como el arraigo laboral, el establecimiento de la multa como sanción preferente a imponer en caso de expulsión o declarar nulo el artículo que extingue en el Reglamento la residencia temporal en España.</w:t>
      </w:r>
    </w:p>
    <w:p w14:paraId="713E6639" w14:textId="77777777" w:rsidR="00570E7B" w:rsidRPr="00570E7B" w:rsidRDefault="00570E7B" w:rsidP="00570E7B">
      <w:pPr>
        <w:spacing w:after="0" w:line="240" w:lineRule="auto"/>
        <w:ind w:right="134"/>
        <w:jc w:val="both"/>
        <w:rPr>
          <w:rFonts w:eastAsia="Calibri" w:cstheme="minorHAnsi"/>
          <w:b/>
          <w:bCs/>
          <w:u w:val="single"/>
        </w:rPr>
      </w:pPr>
    </w:p>
    <w:p w14:paraId="26C4188C" w14:textId="5D582BB7" w:rsidR="005245C0" w:rsidRDefault="00C43FA0" w:rsidP="00570E7B">
      <w:pPr>
        <w:spacing w:after="0" w:line="240" w:lineRule="auto"/>
        <w:ind w:right="134"/>
        <w:jc w:val="both"/>
        <w:rPr>
          <w:rFonts w:eastAsia="Calibri" w:cstheme="minorHAnsi"/>
          <w:b/>
          <w:bCs/>
          <w:u w:val="single"/>
        </w:rPr>
      </w:pPr>
      <w:r>
        <w:rPr>
          <w:rFonts w:eastAsia="Calibri" w:cstheme="minorHAnsi"/>
          <w:b/>
          <w:bCs/>
          <w:u w:val="single"/>
        </w:rPr>
        <w:t>4</w:t>
      </w:r>
      <w:r w:rsidR="00570E7B">
        <w:rPr>
          <w:rFonts w:eastAsia="Calibri" w:cstheme="minorHAnsi"/>
          <w:b/>
          <w:bCs/>
          <w:u w:val="single"/>
        </w:rPr>
        <w:t xml:space="preserve">.- </w:t>
      </w:r>
      <w:r w:rsidR="00570E7B" w:rsidRPr="00570E7B">
        <w:rPr>
          <w:rFonts w:eastAsia="Calibri" w:cstheme="minorHAnsi"/>
          <w:b/>
          <w:bCs/>
          <w:u w:val="single"/>
        </w:rPr>
        <w:t xml:space="preserve">ASISTENCIA JURÍDICA EN LLEGADAS </w:t>
      </w:r>
      <w:r w:rsidR="00666BE3" w:rsidRPr="00570E7B">
        <w:rPr>
          <w:rFonts w:eastAsia="Calibri" w:cstheme="minorHAnsi"/>
          <w:b/>
          <w:bCs/>
          <w:u w:val="single"/>
        </w:rPr>
        <w:t>MARÍTIMAS</w:t>
      </w:r>
      <w:r w:rsidR="00666BE3">
        <w:rPr>
          <w:rFonts w:eastAsia="Calibri" w:cstheme="minorHAnsi"/>
          <w:b/>
          <w:bCs/>
          <w:u w:val="single"/>
        </w:rPr>
        <w:t>.</w:t>
      </w:r>
    </w:p>
    <w:p w14:paraId="67BDEAA9" w14:textId="77777777" w:rsidR="008F4D1C" w:rsidRDefault="008F4D1C" w:rsidP="00570E7B">
      <w:pPr>
        <w:spacing w:after="0" w:line="240" w:lineRule="auto"/>
        <w:ind w:right="134"/>
        <w:jc w:val="both"/>
        <w:rPr>
          <w:rFonts w:eastAsia="Calibri" w:cstheme="minorHAnsi"/>
          <w:b/>
          <w:bCs/>
          <w:u w:val="single"/>
        </w:rPr>
      </w:pPr>
    </w:p>
    <w:p w14:paraId="071F7093" w14:textId="77777777" w:rsidR="008F4D1C" w:rsidRDefault="008F4D1C" w:rsidP="008F4D1C">
      <w:pPr>
        <w:jc w:val="both"/>
      </w:pPr>
      <w:r>
        <w:t>Reivindicamos que la asistencia letrada a migrantes en llegadas marítimas sea solicitada de forma inmediata con el fin de prestar un servicio eficaz y de calidad que garantice sus derechos</w:t>
      </w:r>
    </w:p>
    <w:p w14:paraId="37529C62" w14:textId="77462CD3" w:rsidR="00570E7B" w:rsidRDefault="00570E7B" w:rsidP="00570E7B">
      <w:pPr>
        <w:spacing w:after="0" w:line="240" w:lineRule="auto"/>
        <w:ind w:right="134"/>
        <w:jc w:val="both"/>
        <w:rPr>
          <w:rFonts w:eastAsia="Calibri" w:cstheme="minorHAnsi"/>
          <w:b/>
          <w:bCs/>
          <w:u w:val="single"/>
        </w:rPr>
      </w:pPr>
    </w:p>
    <w:p w14:paraId="5A328799" w14:textId="19628510" w:rsidR="00570E7B" w:rsidRDefault="00C43FA0" w:rsidP="00570E7B">
      <w:pPr>
        <w:spacing w:after="0" w:line="240" w:lineRule="auto"/>
        <w:ind w:right="134"/>
        <w:jc w:val="both"/>
        <w:rPr>
          <w:rFonts w:eastAsia="Calibri" w:cstheme="minorHAnsi"/>
          <w:b/>
          <w:bCs/>
          <w:u w:val="single"/>
        </w:rPr>
      </w:pPr>
      <w:r>
        <w:rPr>
          <w:rFonts w:eastAsia="Calibri" w:cstheme="minorHAnsi"/>
          <w:b/>
          <w:bCs/>
          <w:u w:val="single"/>
        </w:rPr>
        <w:t>5</w:t>
      </w:r>
      <w:r w:rsidR="00570E7B">
        <w:rPr>
          <w:rFonts w:eastAsia="Calibri" w:cstheme="minorHAnsi"/>
          <w:b/>
          <w:bCs/>
          <w:u w:val="single"/>
        </w:rPr>
        <w:t>.- N</w:t>
      </w:r>
      <w:r w:rsidR="00570E7B" w:rsidRPr="00570E7B">
        <w:rPr>
          <w:rFonts w:eastAsia="Calibri" w:cstheme="minorHAnsi"/>
          <w:b/>
          <w:bCs/>
          <w:u w:val="single"/>
        </w:rPr>
        <w:t xml:space="preserve">UEVA ESTRUCTURA DE LA UGE, EMPRENDEDORES, INVERSORES, </w:t>
      </w:r>
      <w:proofErr w:type="gramStart"/>
      <w:r w:rsidR="00570E7B" w:rsidRPr="00570E7B">
        <w:rPr>
          <w:rFonts w:eastAsia="Calibri" w:cstheme="minorHAnsi"/>
          <w:b/>
          <w:bCs/>
          <w:u w:val="single"/>
        </w:rPr>
        <w:t>TELE TRABAJADORES</w:t>
      </w:r>
      <w:proofErr w:type="gramEnd"/>
      <w:r w:rsidR="00570E7B" w:rsidRPr="00570E7B">
        <w:rPr>
          <w:rFonts w:eastAsia="Calibri" w:cstheme="minorHAnsi"/>
          <w:b/>
          <w:bCs/>
          <w:u w:val="single"/>
        </w:rPr>
        <w:t xml:space="preserve"> INTERNACIONALES, PAC Y NÓMADAS DIGITALES: NUEVO FUTURO EN LAS MIGRACIONES.</w:t>
      </w:r>
    </w:p>
    <w:p w14:paraId="35DAAA9B" w14:textId="77777777" w:rsidR="008F4D1C" w:rsidRDefault="008F4D1C" w:rsidP="00570E7B">
      <w:pPr>
        <w:spacing w:after="0" w:line="240" w:lineRule="auto"/>
        <w:ind w:right="134"/>
        <w:jc w:val="both"/>
        <w:rPr>
          <w:rFonts w:eastAsia="Calibri" w:cstheme="minorHAnsi"/>
          <w:b/>
          <w:bCs/>
          <w:u w:val="single"/>
        </w:rPr>
      </w:pPr>
    </w:p>
    <w:p w14:paraId="39EF890D" w14:textId="02D36C96" w:rsidR="008F4D1C" w:rsidRDefault="008F4D1C" w:rsidP="008F4D1C">
      <w:r>
        <w:t>1.</w:t>
      </w:r>
      <w:r w:rsidR="00666BE3">
        <w:t>-</w:t>
      </w:r>
      <w:r>
        <w:t xml:space="preserve"> La Abogacía da respuesta rápida y anticipada a las necesidades de nueva movilidad en dos niveles:</w:t>
      </w:r>
    </w:p>
    <w:p w14:paraId="3569843A" w14:textId="0A3D9515" w:rsidR="008F4D1C" w:rsidRDefault="00666BE3" w:rsidP="008F4D1C">
      <w:r>
        <w:t xml:space="preserve">a) </w:t>
      </w:r>
      <w:r w:rsidR="008F4D1C">
        <w:t>Aporta soluciones para ciudadanos y empresas en sus operaciones de movilidad.</w:t>
      </w:r>
    </w:p>
    <w:p w14:paraId="73A98665" w14:textId="2FE6918F" w:rsidR="008F4D1C" w:rsidRDefault="00666BE3" w:rsidP="008F4D1C">
      <w:r>
        <w:t xml:space="preserve">b) </w:t>
      </w:r>
      <w:r w:rsidR="008F4D1C">
        <w:t>Aporta propuestas legislativas y mejoras de prácticas ante las administraciones españolas y las de la UE.</w:t>
      </w:r>
    </w:p>
    <w:p w14:paraId="7FC8B1B5" w14:textId="03F976DC" w:rsidR="008F4D1C" w:rsidRDefault="008F4D1C" w:rsidP="008F4D1C">
      <w:r>
        <w:t>2.</w:t>
      </w:r>
      <w:r w:rsidR="00666BE3">
        <w:t>-</w:t>
      </w:r>
      <w:r>
        <w:t xml:space="preserve"> Existiendo canales de consulta fluidos con la Administración, los propios procedimientos que son rápidos y ágiles requieren una respuesta en el mismo sentido.</w:t>
      </w:r>
    </w:p>
    <w:p w14:paraId="43A1FCBD" w14:textId="3869C277" w:rsidR="00570E7B" w:rsidRDefault="00570E7B" w:rsidP="00570E7B">
      <w:pPr>
        <w:spacing w:after="0" w:line="240" w:lineRule="auto"/>
        <w:ind w:right="134"/>
        <w:jc w:val="both"/>
        <w:rPr>
          <w:rFonts w:eastAsia="Calibri" w:cstheme="minorHAnsi"/>
          <w:b/>
          <w:bCs/>
          <w:u w:val="single"/>
        </w:rPr>
      </w:pPr>
    </w:p>
    <w:p w14:paraId="4C5626F9" w14:textId="14119C55" w:rsidR="00570E7B" w:rsidRDefault="00C43FA0" w:rsidP="00570E7B">
      <w:pPr>
        <w:spacing w:after="0" w:line="240" w:lineRule="auto"/>
        <w:ind w:right="134"/>
        <w:jc w:val="both"/>
        <w:rPr>
          <w:rFonts w:eastAsia="Calibri" w:cstheme="minorHAnsi"/>
          <w:b/>
          <w:bCs/>
          <w:u w:val="single"/>
        </w:rPr>
      </w:pPr>
      <w:r>
        <w:rPr>
          <w:rFonts w:eastAsia="Calibri" w:cstheme="minorHAnsi"/>
          <w:b/>
          <w:bCs/>
          <w:u w:val="single"/>
        </w:rPr>
        <w:t>6</w:t>
      </w:r>
      <w:r w:rsidR="00570E7B">
        <w:rPr>
          <w:rFonts w:eastAsia="Calibri" w:cstheme="minorHAnsi"/>
          <w:b/>
          <w:bCs/>
          <w:u w:val="single"/>
        </w:rPr>
        <w:t xml:space="preserve">.- </w:t>
      </w:r>
      <w:r w:rsidR="00570E7B" w:rsidRPr="00570E7B">
        <w:rPr>
          <w:rFonts w:eastAsia="Calibri" w:cstheme="minorHAnsi"/>
          <w:b/>
          <w:bCs/>
          <w:u w:val="single"/>
        </w:rPr>
        <w:t>PROTECCION INTERNACIONAL Y EL CONVENIO CON ACNUR.</w:t>
      </w:r>
    </w:p>
    <w:p w14:paraId="0D560574" w14:textId="54DED397" w:rsidR="00C43FA0" w:rsidRDefault="00C43FA0" w:rsidP="00570E7B">
      <w:pPr>
        <w:spacing w:after="0" w:line="240" w:lineRule="auto"/>
        <w:ind w:right="134"/>
        <w:jc w:val="both"/>
        <w:rPr>
          <w:rFonts w:eastAsia="Calibri" w:cstheme="minorHAnsi"/>
          <w:b/>
          <w:bCs/>
          <w:u w:val="single"/>
        </w:rPr>
      </w:pPr>
    </w:p>
    <w:p w14:paraId="0368387A" w14:textId="74F5D9A5" w:rsidR="00C43FA0" w:rsidRPr="00C43FA0" w:rsidRDefault="00C43FA0" w:rsidP="00570E7B">
      <w:pPr>
        <w:spacing w:after="0" w:line="240" w:lineRule="auto"/>
        <w:ind w:right="134"/>
        <w:jc w:val="both"/>
        <w:rPr>
          <w:rFonts w:eastAsia="Calibri" w:cstheme="minorHAnsi"/>
        </w:rPr>
      </w:pPr>
      <w:r>
        <w:rPr>
          <w:rFonts w:eastAsia="Calibri" w:cstheme="minorHAnsi"/>
        </w:rPr>
        <w:t>La creación de los equipos de apoyo y asistencia jurídica de los Colegios de la Abogacía y ACNUR constituye un paso más en el permanente compromiso de la Abogacía con las personas que precisan protección internacional, y en la colaboración con ACNUR.</w:t>
      </w:r>
    </w:p>
    <w:p w14:paraId="60F49559" w14:textId="221265B5" w:rsidR="00C43FA0" w:rsidRDefault="00C43FA0" w:rsidP="00570E7B">
      <w:pPr>
        <w:spacing w:after="0" w:line="240" w:lineRule="auto"/>
        <w:ind w:right="134"/>
        <w:jc w:val="both"/>
        <w:rPr>
          <w:rFonts w:eastAsia="Calibri" w:cstheme="minorHAnsi"/>
          <w:b/>
          <w:bCs/>
          <w:u w:val="single"/>
        </w:rPr>
      </w:pPr>
    </w:p>
    <w:p w14:paraId="3680467F" w14:textId="5B2CA53D" w:rsidR="00570E7B" w:rsidRDefault="00C43FA0" w:rsidP="00570E7B">
      <w:pPr>
        <w:spacing w:after="0" w:line="240" w:lineRule="auto"/>
        <w:ind w:right="134"/>
        <w:jc w:val="both"/>
        <w:rPr>
          <w:rFonts w:eastAsia="Calibri" w:cstheme="minorHAnsi"/>
          <w:b/>
          <w:bCs/>
          <w:u w:val="single"/>
        </w:rPr>
      </w:pPr>
      <w:r>
        <w:rPr>
          <w:rFonts w:eastAsia="Calibri" w:cstheme="minorHAnsi"/>
          <w:b/>
          <w:bCs/>
          <w:u w:val="single"/>
        </w:rPr>
        <w:t>7</w:t>
      </w:r>
      <w:r w:rsidR="00570E7B">
        <w:rPr>
          <w:rFonts w:eastAsia="Calibri" w:cstheme="minorHAnsi"/>
          <w:b/>
          <w:bCs/>
          <w:u w:val="single"/>
        </w:rPr>
        <w:t xml:space="preserve">.- </w:t>
      </w:r>
      <w:r w:rsidR="00570E7B" w:rsidRPr="00570E7B">
        <w:rPr>
          <w:rFonts w:eastAsia="Calibri" w:cstheme="minorHAnsi"/>
          <w:b/>
          <w:bCs/>
          <w:u w:val="single"/>
        </w:rPr>
        <w:t>CRISIS MATRIMONIALES INTERNACIONALES Y DERECHO DE EXTRANJERÍA.</w:t>
      </w:r>
    </w:p>
    <w:p w14:paraId="3385F232" w14:textId="77777777" w:rsidR="008F4D1C" w:rsidRDefault="008F4D1C" w:rsidP="00570E7B">
      <w:pPr>
        <w:spacing w:after="0" w:line="240" w:lineRule="auto"/>
        <w:ind w:right="134"/>
        <w:jc w:val="both"/>
        <w:rPr>
          <w:rFonts w:eastAsia="Calibri" w:cstheme="minorHAnsi"/>
          <w:b/>
          <w:bCs/>
          <w:u w:val="single"/>
        </w:rPr>
      </w:pPr>
    </w:p>
    <w:p w14:paraId="157AAFF7" w14:textId="3E225EDE" w:rsidR="008F4D1C" w:rsidRDefault="008F4D1C" w:rsidP="008F4D1C">
      <w:pPr>
        <w:jc w:val="both"/>
        <w:rPr>
          <w:rFonts w:eastAsia="Times New Roman"/>
        </w:rPr>
      </w:pPr>
      <w:r>
        <w:rPr>
          <w:rFonts w:eastAsia="Times New Roman"/>
        </w:rPr>
        <w:t>En los últimos años ha incrementado la litigiosidad en las crisis matrimoniales internacionales. El RD UE 2019/1111 que entró en vigor el 1 de agosto del 2022 que viene a regular la competencia, reconocimiento y la ejecución de resoluciones en materia matrimonial de responsabilidad parental y sobre la sustracción internacional de menores, que constituye la norma nuclear del derecho de familia internacional.</w:t>
      </w:r>
    </w:p>
    <w:p w14:paraId="3F6F2F47" w14:textId="27758253" w:rsidR="00570E7B" w:rsidRDefault="00570E7B" w:rsidP="00570E7B">
      <w:pPr>
        <w:spacing w:after="0" w:line="240" w:lineRule="auto"/>
        <w:ind w:right="134"/>
        <w:jc w:val="both"/>
        <w:rPr>
          <w:rFonts w:eastAsia="Calibri" w:cstheme="minorHAnsi"/>
          <w:b/>
          <w:bCs/>
          <w:u w:val="single"/>
        </w:rPr>
      </w:pPr>
    </w:p>
    <w:p w14:paraId="62156139" w14:textId="4D68DE28" w:rsidR="00570E7B" w:rsidRDefault="00C43FA0" w:rsidP="00570E7B">
      <w:pPr>
        <w:spacing w:after="0" w:line="240" w:lineRule="auto"/>
        <w:ind w:right="134"/>
        <w:jc w:val="both"/>
        <w:rPr>
          <w:rFonts w:eastAsia="Calibri" w:cstheme="minorHAnsi"/>
          <w:b/>
          <w:bCs/>
          <w:u w:val="single"/>
        </w:rPr>
      </w:pPr>
      <w:r>
        <w:rPr>
          <w:rFonts w:eastAsia="Calibri" w:cstheme="minorHAnsi"/>
          <w:b/>
          <w:bCs/>
          <w:u w:val="single"/>
        </w:rPr>
        <w:t>8</w:t>
      </w:r>
      <w:r w:rsidR="00570E7B">
        <w:rPr>
          <w:rFonts w:eastAsia="Calibri" w:cstheme="minorHAnsi"/>
          <w:b/>
          <w:bCs/>
          <w:u w:val="single"/>
        </w:rPr>
        <w:t xml:space="preserve">.- </w:t>
      </w:r>
      <w:r w:rsidR="00570E7B" w:rsidRPr="00570E7B">
        <w:rPr>
          <w:rFonts w:eastAsia="Calibri" w:cstheme="minorHAnsi"/>
          <w:b/>
          <w:bCs/>
          <w:u w:val="single"/>
        </w:rPr>
        <w:t>A VUELTAS CON OTRO PROCESO DE SOLICITUDES DE NACIONALIDAD ESPAÑOLA</w:t>
      </w:r>
      <w:r w:rsidR="00570E7B">
        <w:rPr>
          <w:rFonts w:eastAsia="Calibri" w:cstheme="minorHAnsi"/>
          <w:b/>
          <w:bCs/>
          <w:u w:val="single"/>
        </w:rPr>
        <w:t>.</w:t>
      </w:r>
    </w:p>
    <w:p w14:paraId="32D4005A" w14:textId="0A1E3B7D" w:rsidR="008F4D1C" w:rsidRDefault="008F4D1C" w:rsidP="00570E7B">
      <w:pPr>
        <w:spacing w:after="0" w:line="240" w:lineRule="auto"/>
        <w:ind w:right="134"/>
        <w:jc w:val="both"/>
        <w:rPr>
          <w:rFonts w:eastAsia="Calibri" w:cstheme="minorHAnsi"/>
          <w:b/>
          <w:bCs/>
          <w:u w:val="single"/>
        </w:rPr>
      </w:pPr>
    </w:p>
    <w:p w14:paraId="44DCE621" w14:textId="55748F59" w:rsidR="008F4D1C" w:rsidRDefault="008F4D1C" w:rsidP="00570E7B">
      <w:pPr>
        <w:spacing w:after="0" w:line="240" w:lineRule="auto"/>
        <w:ind w:right="134"/>
        <w:jc w:val="both"/>
        <w:rPr>
          <w:rFonts w:eastAsia="Calibri" w:cstheme="minorHAnsi"/>
        </w:rPr>
      </w:pPr>
      <w:r>
        <w:rPr>
          <w:rFonts w:eastAsia="Calibri" w:cstheme="minorHAnsi"/>
        </w:rPr>
        <w:t>1.- Se constata el incremento notable de solicitudes de nacionalidad, tanto por residencia como por la Ley de memoria histórica y la Ley de memoria democrática.</w:t>
      </w:r>
    </w:p>
    <w:p w14:paraId="73AC34A0" w14:textId="306BE286" w:rsidR="008F4D1C" w:rsidRDefault="008F4D1C" w:rsidP="00570E7B">
      <w:pPr>
        <w:spacing w:after="0" w:line="240" w:lineRule="auto"/>
        <w:ind w:right="134"/>
        <w:jc w:val="both"/>
        <w:rPr>
          <w:rFonts w:eastAsia="Calibri" w:cstheme="minorHAnsi"/>
        </w:rPr>
      </w:pPr>
    </w:p>
    <w:p w14:paraId="33A13C71" w14:textId="1B7B24DA" w:rsidR="008F4D1C" w:rsidRDefault="008F4D1C" w:rsidP="00570E7B">
      <w:pPr>
        <w:spacing w:after="0" w:line="240" w:lineRule="auto"/>
        <w:ind w:right="134"/>
        <w:jc w:val="both"/>
        <w:rPr>
          <w:rFonts w:eastAsia="Calibri" w:cstheme="minorHAnsi"/>
        </w:rPr>
      </w:pPr>
      <w:r>
        <w:rPr>
          <w:rFonts w:eastAsia="Calibri" w:cstheme="minorHAnsi"/>
        </w:rPr>
        <w:t>2.- Se destaca la diferencia de criterios en la aplicación de la Ley de memoria democrática, lo que provoca una falta de seguridad jurídica.</w:t>
      </w:r>
    </w:p>
    <w:p w14:paraId="0152183F" w14:textId="4578D492" w:rsidR="00570E7B" w:rsidRDefault="00570E7B" w:rsidP="00570E7B">
      <w:pPr>
        <w:spacing w:after="0" w:line="240" w:lineRule="auto"/>
        <w:ind w:right="134"/>
        <w:jc w:val="both"/>
        <w:rPr>
          <w:rFonts w:eastAsia="Calibri" w:cstheme="minorHAnsi"/>
          <w:b/>
          <w:bCs/>
          <w:u w:val="single"/>
        </w:rPr>
      </w:pPr>
    </w:p>
    <w:p w14:paraId="477FBAE8" w14:textId="10EF8351" w:rsidR="00570E7B" w:rsidRDefault="00C43FA0" w:rsidP="00570E7B">
      <w:pPr>
        <w:spacing w:after="0" w:line="240" w:lineRule="auto"/>
        <w:ind w:right="134"/>
        <w:jc w:val="both"/>
        <w:rPr>
          <w:rFonts w:eastAsia="Calibri" w:cstheme="minorHAnsi"/>
          <w:b/>
          <w:bCs/>
          <w:u w:val="single"/>
        </w:rPr>
      </w:pPr>
      <w:r>
        <w:rPr>
          <w:rFonts w:eastAsia="Calibri" w:cstheme="minorHAnsi"/>
          <w:b/>
          <w:bCs/>
          <w:u w:val="single"/>
        </w:rPr>
        <w:t>9</w:t>
      </w:r>
      <w:r w:rsidR="00570E7B">
        <w:rPr>
          <w:rFonts w:eastAsia="Calibri" w:cstheme="minorHAnsi"/>
          <w:b/>
          <w:bCs/>
          <w:u w:val="single"/>
        </w:rPr>
        <w:t xml:space="preserve">.- </w:t>
      </w:r>
      <w:r w:rsidR="00570E7B" w:rsidRPr="00570E7B">
        <w:rPr>
          <w:rFonts w:eastAsia="Calibri" w:cstheme="minorHAnsi"/>
          <w:b/>
          <w:bCs/>
          <w:u w:val="single"/>
        </w:rPr>
        <w:t>CIUDADANOS EXTRANJEROS EN PRISIÓN: dificultades en el acceso a sus derechos.</w:t>
      </w:r>
    </w:p>
    <w:p w14:paraId="23C645B9" w14:textId="574D4C91" w:rsidR="00570E7B" w:rsidRDefault="00570E7B" w:rsidP="00570E7B">
      <w:pPr>
        <w:spacing w:after="0" w:line="240" w:lineRule="auto"/>
        <w:ind w:right="134"/>
        <w:jc w:val="both"/>
        <w:rPr>
          <w:rFonts w:eastAsia="Calibri" w:cstheme="minorHAnsi"/>
          <w:b/>
          <w:bCs/>
          <w:u w:val="single"/>
        </w:rPr>
      </w:pPr>
    </w:p>
    <w:p w14:paraId="0E750D7F" w14:textId="3B6AE235" w:rsidR="00C43FA0" w:rsidRDefault="00C43FA0" w:rsidP="00C43FA0">
      <w:pPr>
        <w:spacing w:after="0" w:line="240" w:lineRule="auto"/>
        <w:ind w:right="134"/>
        <w:jc w:val="both"/>
        <w:rPr>
          <w:rFonts w:eastAsia="Calibri" w:cstheme="minorHAnsi"/>
        </w:rPr>
      </w:pPr>
      <w:r w:rsidRPr="00C43FA0">
        <w:rPr>
          <w:rFonts w:eastAsia="Calibri" w:cstheme="minorHAnsi"/>
        </w:rPr>
        <w:t>1.- Es necesaria:</w:t>
      </w:r>
    </w:p>
    <w:p w14:paraId="243EE266" w14:textId="77777777" w:rsidR="00C43FA0" w:rsidRPr="00C43FA0" w:rsidRDefault="00C43FA0" w:rsidP="00C43FA0">
      <w:pPr>
        <w:spacing w:after="0" w:line="240" w:lineRule="auto"/>
        <w:ind w:right="134"/>
        <w:jc w:val="both"/>
        <w:rPr>
          <w:rFonts w:eastAsia="Calibri" w:cstheme="minorHAnsi"/>
        </w:rPr>
      </w:pPr>
    </w:p>
    <w:p w14:paraId="3B936853" w14:textId="0C843D6D" w:rsidR="00C43FA0" w:rsidRPr="00666BE3" w:rsidRDefault="00666BE3" w:rsidP="00666BE3">
      <w:pPr>
        <w:rPr>
          <w:rFonts w:cstheme="minorHAnsi"/>
        </w:rPr>
      </w:pPr>
      <w:r>
        <w:t>a) L</w:t>
      </w:r>
      <w:r w:rsidR="00C43FA0" w:rsidRPr="00666BE3">
        <w:t>a formación transversal en materia de Derecho de Extranjería y Protección</w:t>
      </w:r>
      <w:r w:rsidR="00C43FA0" w:rsidRPr="00666BE3">
        <w:rPr>
          <w:rFonts w:cstheme="minorHAnsi"/>
        </w:rPr>
        <w:t xml:space="preserve"> Internacional de los/as abogados/as adscritos a los turnos de oficio de derecho penal y derecho penitenciario</w:t>
      </w:r>
      <w:r w:rsidRPr="00666BE3">
        <w:rPr>
          <w:rFonts w:cstheme="minorHAnsi"/>
        </w:rPr>
        <w:t>.</w:t>
      </w:r>
      <w:r w:rsidR="00C43FA0" w:rsidRPr="00666BE3">
        <w:rPr>
          <w:rFonts w:cstheme="minorHAnsi"/>
        </w:rPr>
        <w:t xml:space="preserve"> </w:t>
      </w:r>
    </w:p>
    <w:p w14:paraId="211611EB" w14:textId="6FF123C3" w:rsidR="00C43FA0" w:rsidRPr="00C43FA0" w:rsidRDefault="00C43FA0" w:rsidP="00C43FA0">
      <w:pPr>
        <w:spacing w:after="0" w:line="240" w:lineRule="auto"/>
        <w:ind w:right="134"/>
        <w:jc w:val="both"/>
        <w:rPr>
          <w:rFonts w:eastAsia="Calibri" w:cstheme="minorHAnsi"/>
        </w:rPr>
      </w:pPr>
      <w:r w:rsidRPr="00C43FA0">
        <w:rPr>
          <w:rFonts w:eastAsia="Calibri" w:cstheme="minorHAnsi"/>
        </w:rPr>
        <w:t>b</w:t>
      </w:r>
      <w:r w:rsidR="00666BE3">
        <w:rPr>
          <w:rFonts w:eastAsia="Calibri" w:cstheme="minorHAnsi"/>
        </w:rPr>
        <w:t>) L</w:t>
      </w:r>
      <w:r w:rsidRPr="00C43FA0">
        <w:rPr>
          <w:rFonts w:eastAsia="Calibri" w:cstheme="minorHAnsi"/>
        </w:rPr>
        <w:t>a coordinación entre todos para la defensa de un mismo ciudadano extranjero</w:t>
      </w:r>
      <w:r w:rsidR="00666BE3">
        <w:rPr>
          <w:rFonts w:eastAsia="Calibri" w:cstheme="minorHAnsi"/>
        </w:rPr>
        <w:t>.</w:t>
      </w:r>
    </w:p>
    <w:p w14:paraId="467F6250" w14:textId="77777777" w:rsidR="00666BE3" w:rsidRDefault="00666BE3" w:rsidP="00C43FA0">
      <w:pPr>
        <w:spacing w:after="0" w:line="240" w:lineRule="auto"/>
        <w:ind w:right="134"/>
        <w:jc w:val="both"/>
        <w:rPr>
          <w:rFonts w:eastAsia="Calibri" w:cstheme="minorHAnsi"/>
        </w:rPr>
      </w:pPr>
    </w:p>
    <w:p w14:paraId="66BA2F13" w14:textId="42E083D0" w:rsidR="00C43FA0" w:rsidRPr="00C43FA0" w:rsidRDefault="00C43FA0" w:rsidP="00C43FA0">
      <w:pPr>
        <w:spacing w:after="0" w:line="240" w:lineRule="auto"/>
        <w:ind w:right="134"/>
        <w:jc w:val="both"/>
        <w:rPr>
          <w:rFonts w:eastAsia="Calibri" w:cstheme="minorHAnsi"/>
        </w:rPr>
      </w:pPr>
      <w:r w:rsidRPr="00C43FA0">
        <w:rPr>
          <w:rFonts w:eastAsia="Calibri" w:cstheme="minorHAnsi"/>
        </w:rPr>
        <w:t>c</w:t>
      </w:r>
      <w:r w:rsidR="00666BE3">
        <w:rPr>
          <w:rFonts w:eastAsia="Calibri" w:cstheme="minorHAnsi"/>
        </w:rPr>
        <w:t>) A</w:t>
      </w:r>
      <w:r w:rsidRPr="00C43FA0">
        <w:rPr>
          <w:rFonts w:eastAsia="Calibri" w:cstheme="minorHAnsi"/>
        </w:rPr>
        <w:t>sí como tender a la unidad de designación de defensa de un ciudadano extranjero.</w:t>
      </w:r>
    </w:p>
    <w:p w14:paraId="0FACC96B" w14:textId="77777777" w:rsidR="00C43FA0" w:rsidRPr="00C43FA0" w:rsidRDefault="00C43FA0" w:rsidP="00C43FA0">
      <w:pPr>
        <w:spacing w:after="0" w:line="240" w:lineRule="auto"/>
        <w:ind w:right="134"/>
        <w:jc w:val="both"/>
        <w:rPr>
          <w:rFonts w:eastAsia="Calibri" w:cstheme="minorHAnsi"/>
        </w:rPr>
      </w:pPr>
      <w:r w:rsidRPr="00C43FA0">
        <w:rPr>
          <w:rFonts w:eastAsia="Calibri" w:cstheme="minorHAnsi"/>
        </w:rPr>
        <w:t xml:space="preserve"> </w:t>
      </w:r>
    </w:p>
    <w:p w14:paraId="72B7B55B" w14:textId="1C894E61" w:rsidR="00C43FA0" w:rsidRPr="00C43FA0" w:rsidRDefault="00C43FA0" w:rsidP="00C43FA0">
      <w:pPr>
        <w:spacing w:after="0" w:line="240" w:lineRule="auto"/>
        <w:ind w:right="134"/>
        <w:jc w:val="both"/>
        <w:rPr>
          <w:rFonts w:eastAsia="Calibri" w:cstheme="minorHAnsi"/>
        </w:rPr>
      </w:pPr>
      <w:r w:rsidRPr="00C43FA0">
        <w:rPr>
          <w:rFonts w:eastAsia="Calibri" w:cstheme="minorHAnsi"/>
        </w:rPr>
        <w:t xml:space="preserve">2.- Abogamos por la creación de un Servicio de Orientación y Asistencia Jurídica Penitenciaria en materia de Derecho Penitenciario y Derecho de Extranjería </w:t>
      </w:r>
      <w:r w:rsidR="00666BE3">
        <w:rPr>
          <w:rFonts w:eastAsia="Calibri" w:cstheme="minorHAnsi"/>
        </w:rPr>
        <w:t xml:space="preserve">y </w:t>
      </w:r>
      <w:r w:rsidRPr="00C43FA0">
        <w:rPr>
          <w:rFonts w:eastAsia="Calibri" w:cstheme="minorHAnsi"/>
        </w:rPr>
        <w:t xml:space="preserve">Protección Internacional en todos los Colegios de </w:t>
      </w:r>
      <w:r w:rsidR="00717043">
        <w:rPr>
          <w:rFonts w:eastAsia="Calibri" w:cstheme="minorHAnsi"/>
        </w:rPr>
        <w:t xml:space="preserve">la </w:t>
      </w:r>
      <w:r w:rsidRPr="00C43FA0">
        <w:rPr>
          <w:rFonts w:eastAsia="Calibri" w:cstheme="minorHAnsi"/>
        </w:rPr>
        <w:t>Aboga</w:t>
      </w:r>
      <w:r w:rsidR="00717043">
        <w:rPr>
          <w:rFonts w:eastAsia="Calibri" w:cstheme="minorHAnsi"/>
        </w:rPr>
        <w:t>cía</w:t>
      </w:r>
      <w:r w:rsidRPr="00C43FA0">
        <w:rPr>
          <w:rFonts w:eastAsia="Calibri" w:cstheme="minorHAnsi"/>
        </w:rPr>
        <w:t xml:space="preserve"> que tengan en su circunscripción un Centro Penitenciario, PROVISTOS de financiación digna y adecuada, incluyendo la figura de intérpretes durante todo el proceso de defensa.</w:t>
      </w:r>
    </w:p>
    <w:p w14:paraId="18501D70" w14:textId="77777777" w:rsidR="00C43FA0" w:rsidRPr="00C43FA0" w:rsidRDefault="00C43FA0" w:rsidP="00C43FA0">
      <w:pPr>
        <w:spacing w:after="0" w:line="240" w:lineRule="auto"/>
        <w:ind w:right="134"/>
        <w:jc w:val="both"/>
        <w:rPr>
          <w:rFonts w:eastAsia="Calibri" w:cstheme="minorHAnsi"/>
          <w:b/>
          <w:bCs/>
          <w:u w:val="single"/>
        </w:rPr>
      </w:pPr>
    </w:p>
    <w:p w14:paraId="075480FC" w14:textId="77777777" w:rsidR="00C43FA0" w:rsidRPr="00C43FA0" w:rsidRDefault="00C43FA0" w:rsidP="00C43FA0">
      <w:pPr>
        <w:spacing w:after="0" w:line="240" w:lineRule="auto"/>
        <w:ind w:right="134"/>
        <w:jc w:val="both"/>
        <w:rPr>
          <w:rFonts w:eastAsia="Calibri" w:cstheme="minorHAnsi"/>
          <w:b/>
          <w:bCs/>
          <w:u w:val="single"/>
        </w:rPr>
      </w:pPr>
    </w:p>
    <w:p w14:paraId="4DFC174D" w14:textId="0C3A2883" w:rsidR="00570E7B" w:rsidRDefault="00C43FA0" w:rsidP="00570E7B">
      <w:pPr>
        <w:spacing w:after="0" w:line="240" w:lineRule="auto"/>
        <w:ind w:right="134"/>
        <w:jc w:val="both"/>
        <w:rPr>
          <w:rFonts w:eastAsia="Calibri" w:cstheme="minorHAnsi"/>
          <w:b/>
          <w:bCs/>
          <w:u w:val="single"/>
        </w:rPr>
      </w:pPr>
      <w:r>
        <w:rPr>
          <w:rFonts w:eastAsia="Calibri" w:cstheme="minorHAnsi"/>
          <w:b/>
          <w:bCs/>
          <w:u w:val="single"/>
        </w:rPr>
        <w:t>10</w:t>
      </w:r>
      <w:r w:rsidR="00570E7B">
        <w:rPr>
          <w:rFonts w:eastAsia="Calibri" w:cstheme="minorHAnsi"/>
          <w:b/>
          <w:bCs/>
          <w:u w:val="single"/>
        </w:rPr>
        <w:t xml:space="preserve">.- </w:t>
      </w:r>
      <w:r w:rsidR="00570E7B" w:rsidRPr="00570E7B">
        <w:rPr>
          <w:rFonts w:eastAsia="Calibri" w:cstheme="minorHAnsi"/>
          <w:b/>
          <w:bCs/>
          <w:u w:val="single"/>
        </w:rPr>
        <w:t>EFECTOS DEL DELITO EN LA POBLACIÓN MIGRANTE; EXPULSIÓN Y REGULARIZACIÓN.</w:t>
      </w:r>
    </w:p>
    <w:p w14:paraId="65BBB179" w14:textId="77777777" w:rsidR="00C43FA0" w:rsidRDefault="00C43FA0" w:rsidP="00C43FA0">
      <w:pPr>
        <w:rPr>
          <w:rFonts w:eastAsia="Times New Roman"/>
        </w:rPr>
      </w:pPr>
    </w:p>
    <w:p w14:paraId="2448A2EA" w14:textId="216824E0" w:rsidR="00C43FA0" w:rsidRDefault="00F3762A" w:rsidP="00C43FA0">
      <w:pPr>
        <w:jc w:val="both"/>
        <w:rPr>
          <w:rFonts w:eastAsia="Times New Roman"/>
        </w:rPr>
      </w:pPr>
      <w:r>
        <w:rPr>
          <w:rFonts w:eastAsia="Times New Roman"/>
        </w:rPr>
        <w:t xml:space="preserve">1.- </w:t>
      </w:r>
      <w:r w:rsidR="00C43FA0">
        <w:rPr>
          <w:rFonts w:eastAsia="Times New Roman"/>
        </w:rPr>
        <w:t xml:space="preserve">Son delitos </w:t>
      </w:r>
      <w:proofErr w:type="spellStart"/>
      <w:r w:rsidR="00C43FA0">
        <w:rPr>
          <w:rFonts w:eastAsia="Times New Roman"/>
        </w:rPr>
        <w:t>infradenunciados</w:t>
      </w:r>
      <w:proofErr w:type="spellEnd"/>
      <w:r w:rsidR="00C43FA0">
        <w:rPr>
          <w:rFonts w:eastAsia="Times New Roman"/>
        </w:rPr>
        <w:t>, se estima que solo se denuncian un 3%.  Dificultad para denunciar por miedo a la expulsión. </w:t>
      </w:r>
    </w:p>
    <w:p w14:paraId="518C8A76" w14:textId="2C9B07E1" w:rsidR="00F3762A" w:rsidRDefault="00F3762A" w:rsidP="00C43FA0">
      <w:pPr>
        <w:jc w:val="both"/>
        <w:rPr>
          <w:rFonts w:eastAsia="Times New Roman"/>
        </w:rPr>
      </w:pPr>
      <w:r>
        <w:rPr>
          <w:rFonts w:eastAsia="Times New Roman"/>
        </w:rPr>
        <w:t xml:space="preserve">2.- </w:t>
      </w:r>
      <w:r w:rsidR="00C43FA0">
        <w:rPr>
          <w:rFonts w:eastAsia="Times New Roman"/>
        </w:rPr>
        <w:t>Necesidad de crear un estatuto para la víctima de delito de odio</w:t>
      </w:r>
      <w:r>
        <w:rPr>
          <w:rFonts w:eastAsia="Times New Roman"/>
        </w:rPr>
        <w:t>.</w:t>
      </w:r>
    </w:p>
    <w:p w14:paraId="5B16D31E" w14:textId="6FCE859C" w:rsidR="00570E7B" w:rsidRPr="008022BF" w:rsidRDefault="00381AD6" w:rsidP="00381AD6">
      <w:pPr>
        <w:spacing w:after="0" w:line="240" w:lineRule="auto"/>
        <w:ind w:right="134"/>
        <w:jc w:val="both"/>
        <w:rPr>
          <w:rFonts w:eastAsia="Calibri" w:cstheme="minorHAnsi"/>
          <w:color w:val="FF0000"/>
        </w:rPr>
      </w:pPr>
      <w:r>
        <w:rPr>
          <w:rFonts w:eastAsia="Calibri" w:cstheme="minorHAnsi"/>
        </w:rPr>
        <w:t>3</w:t>
      </w:r>
      <w:r w:rsidRPr="008022BF">
        <w:rPr>
          <w:rFonts w:eastAsia="Calibri" w:cstheme="minorHAnsi"/>
          <w:color w:val="FF0000"/>
        </w:rPr>
        <w:t xml:space="preserve">.- </w:t>
      </w:r>
      <w:r w:rsidRPr="00EF60BB">
        <w:rPr>
          <w:rFonts w:eastAsia="Calibri" w:cstheme="minorHAnsi"/>
        </w:rPr>
        <w:t>La aplicación del artículo 89 CP sobre la sustitución de la pena de prisión de más de un año por la expulsión del país no se realice de forma automática, sino que se aplique a casos muy concretos y excepcionales, es decir, para los que no tengan arraigo en España, y así evitar que la expulsión sea una medida desproporcionada.</w:t>
      </w:r>
    </w:p>
    <w:p w14:paraId="59E33F55" w14:textId="77777777" w:rsidR="00381AD6" w:rsidRPr="00381AD6" w:rsidRDefault="00381AD6" w:rsidP="00381AD6">
      <w:pPr>
        <w:spacing w:after="0" w:line="240" w:lineRule="auto"/>
        <w:ind w:right="134"/>
        <w:jc w:val="both"/>
        <w:rPr>
          <w:rFonts w:eastAsia="Calibri" w:cstheme="minorHAnsi"/>
        </w:rPr>
      </w:pPr>
    </w:p>
    <w:p w14:paraId="6EBA2EDE" w14:textId="3372D475" w:rsidR="00570E7B" w:rsidRDefault="00570E7B" w:rsidP="00570E7B">
      <w:pPr>
        <w:spacing w:after="0" w:line="240" w:lineRule="auto"/>
        <w:ind w:right="134"/>
        <w:jc w:val="both"/>
        <w:rPr>
          <w:rFonts w:eastAsia="Calibri" w:cstheme="minorHAnsi"/>
          <w:b/>
          <w:bCs/>
          <w:u w:val="single"/>
        </w:rPr>
      </w:pPr>
      <w:r>
        <w:rPr>
          <w:rFonts w:eastAsia="Calibri" w:cstheme="minorHAnsi"/>
          <w:b/>
          <w:bCs/>
          <w:u w:val="single"/>
        </w:rPr>
        <w:t>1</w:t>
      </w:r>
      <w:r w:rsidR="00C43FA0">
        <w:rPr>
          <w:rFonts w:eastAsia="Calibri" w:cstheme="minorHAnsi"/>
          <w:b/>
          <w:bCs/>
          <w:u w:val="single"/>
        </w:rPr>
        <w:t>1</w:t>
      </w:r>
      <w:r>
        <w:rPr>
          <w:rFonts w:eastAsia="Calibri" w:cstheme="minorHAnsi"/>
          <w:b/>
          <w:bCs/>
          <w:u w:val="single"/>
        </w:rPr>
        <w:t xml:space="preserve">.- </w:t>
      </w:r>
      <w:r w:rsidRPr="00570E7B">
        <w:rPr>
          <w:rFonts w:eastAsia="Calibri" w:cstheme="minorHAnsi"/>
          <w:b/>
          <w:bCs/>
          <w:u w:val="single"/>
        </w:rPr>
        <w:t>MODIFICACIONES DE AUTORIZACIONES: DETERMINACIÓN, CASUÍSTICA Y PROBLEMÁTICA.</w:t>
      </w:r>
    </w:p>
    <w:p w14:paraId="3AFD26F4" w14:textId="77777777" w:rsidR="00570E7B" w:rsidRDefault="00570E7B" w:rsidP="00570E7B">
      <w:pPr>
        <w:spacing w:after="0" w:line="240" w:lineRule="auto"/>
        <w:ind w:right="134"/>
        <w:jc w:val="both"/>
        <w:rPr>
          <w:rFonts w:eastAsia="Calibri" w:cstheme="minorHAnsi"/>
          <w:b/>
          <w:bCs/>
          <w:u w:val="single"/>
        </w:rPr>
      </w:pPr>
    </w:p>
    <w:p w14:paraId="427B532E" w14:textId="77777777" w:rsidR="00570E7B" w:rsidRPr="00570E7B" w:rsidRDefault="00570E7B" w:rsidP="00570E7B">
      <w:pPr>
        <w:jc w:val="both"/>
      </w:pPr>
      <w:r w:rsidRPr="00570E7B">
        <w:t xml:space="preserve">1.- Ante la dispersión normativa actual en materia de extranjería, propiciada por la creación de nuevas autorizaciones y permisos en los últimos años, consideramos necesaria y con carácter de urgencia una reforma integral de la Ley y Reglamento de extranjería, que integre todas las </w:t>
      </w:r>
      <w:r w:rsidRPr="00570E7B">
        <w:lastRenderedPageBreak/>
        <w:t>actualizaciones y reformas, condensando en una única norma todos los procedimientos, permisos y autorizaciones existentes. Aprovechando el momento para incluir y ampliar nuevas posibilidades de modificación de autorizaciones y permisos, en situaciones de estancia y residencia que actualmente no se regulan, como la posibilidad de modificar del régimen de estancia por estudios a residencia no lucrativa desde España, evitando tener que regresar a país de origen a gestionar un nuevo procedimiento, así como también desarrollar con mayor claridad los requisitos necesarios para cada supuesto.</w:t>
      </w:r>
    </w:p>
    <w:p w14:paraId="0DB98B96" w14:textId="77777777" w:rsidR="00570E7B" w:rsidRPr="00570E7B" w:rsidRDefault="00570E7B" w:rsidP="00570E7B">
      <w:pPr>
        <w:jc w:val="both"/>
      </w:pPr>
      <w:r w:rsidRPr="00570E7B">
        <w:t>2.- Solicitamos que, cuando se realicen modificaciones y/o actualizaciones legislativas, se revise íntegramente Ley y Reglamento y se actualicen todos los artículos relacionados o que pudieran estar afectados  por los cambios, evitando situaciones como la actual, en la que habiéndose creado nuevas autorizaciones y permisos, no se adecuaron otros preceptos de la norma como los que regulan las modificaciones, generando incertidumbre, inseguridad jurídica y situaciones de irregularidad sobrevenida.</w:t>
      </w:r>
    </w:p>
    <w:p w14:paraId="7DE9A9AB" w14:textId="77777777" w:rsidR="00C43FA0" w:rsidRPr="005245C0" w:rsidRDefault="00C43FA0" w:rsidP="00C43FA0">
      <w:pPr>
        <w:spacing w:after="160" w:line="259" w:lineRule="auto"/>
        <w:jc w:val="center"/>
        <w:rPr>
          <w:rFonts w:eastAsia="Calibri" w:cstheme="minorHAnsi"/>
          <w:b/>
          <w:bCs/>
        </w:rPr>
      </w:pPr>
    </w:p>
    <w:p w14:paraId="50DA3F2E" w14:textId="77777777" w:rsidR="00C43FA0" w:rsidRPr="00C43FA0" w:rsidRDefault="00C43FA0" w:rsidP="00C43FA0">
      <w:pPr>
        <w:spacing w:after="160" w:line="259" w:lineRule="auto"/>
        <w:jc w:val="both"/>
        <w:rPr>
          <w:rFonts w:eastAsia="Calibri" w:cstheme="minorHAnsi"/>
          <w:b/>
          <w:bCs/>
        </w:rPr>
      </w:pPr>
      <w:r w:rsidRPr="00C43FA0">
        <w:rPr>
          <w:rFonts w:eastAsia="Calibri" w:cstheme="minorHAnsi"/>
          <w:b/>
          <w:bCs/>
        </w:rPr>
        <w:t>DECLARACION FINAL</w:t>
      </w:r>
    </w:p>
    <w:p w14:paraId="081F118A" w14:textId="0AB52E67" w:rsidR="00C43FA0" w:rsidRDefault="00C43FA0" w:rsidP="00C43FA0">
      <w:pPr>
        <w:spacing w:after="160" w:line="259" w:lineRule="auto"/>
        <w:jc w:val="both"/>
        <w:rPr>
          <w:rFonts w:eastAsia="Calibri" w:cstheme="minorHAnsi"/>
        </w:rPr>
      </w:pPr>
      <w:r w:rsidRPr="00570E7B">
        <w:rPr>
          <w:rFonts w:eastAsia="Calibri" w:cstheme="minorHAnsi"/>
        </w:rPr>
        <w:t>La Abogacía española, en est</w:t>
      </w:r>
      <w:r w:rsidR="00B64A60">
        <w:rPr>
          <w:rFonts w:eastAsia="Calibri" w:cstheme="minorHAnsi"/>
        </w:rPr>
        <w:t>a</w:t>
      </w:r>
      <w:r w:rsidRPr="00570E7B">
        <w:rPr>
          <w:rFonts w:eastAsia="Calibri" w:cstheme="minorHAnsi"/>
        </w:rPr>
        <w:t xml:space="preserve"> XXXI edición de sus Jornadas de Extranjería y Protección Internacional, reitera una vez más que se reconozca el derecho humano a la paz. Y reclama que cesen de una vez las guerras</w:t>
      </w:r>
      <w:r w:rsidR="00B64A60">
        <w:rPr>
          <w:rFonts w:eastAsia="Calibri" w:cstheme="minorHAnsi"/>
        </w:rPr>
        <w:t xml:space="preserve">, </w:t>
      </w:r>
      <w:r w:rsidRPr="00570E7B">
        <w:rPr>
          <w:rFonts w:eastAsia="Calibri" w:cstheme="minorHAnsi"/>
        </w:rPr>
        <w:t xml:space="preserve">el </w:t>
      </w:r>
      <w:r w:rsidRPr="00EF60BB">
        <w:rPr>
          <w:rFonts w:eastAsia="Calibri" w:cstheme="minorHAnsi"/>
        </w:rPr>
        <w:t>terrorismo</w:t>
      </w:r>
      <w:r w:rsidR="00B64A60" w:rsidRPr="00EF60BB">
        <w:rPr>
          <w:rFonts w:eastAsia="Calibri" w:cstheme="minorHAnsi"/>
        </w:rPr>
        <w:t xml:space="preserve"> y la violencia.</w:t>
      </w:r>
      <w:r w:rsidRPr="00EF60BB">
        <w:rPr>
          <w:rFonts w:eastAsia="Calibri" w:cstheme="minorHAnsi"/>
        </w:rPr>
        <w:t xml:space="preserve"> </w:t>
      </w:r>
      <w:r w:rsidRPr="00570E7B">
        <w:rPr>
          <w:rFonts w:eastAsia="Calibri" w:cstheme="minorHAnsi"/>
        </w:rPr>
        <w:t xml:space="preserve">Que la respuesta y la solución a los conflictos no sea odio sobre odio. Que la palabra sustituya a las armas. Y que el ser humano pueda vivir en paz en todos los rincones del mundo. </w:t>
      </w:r>
    </w:p>
    <w:p w14:paraId="7EE86197" w14:textId="33F4DFC8" w:rsidR="00B64A60" w:rsidRDefault="00B64A60" w:rsidP="00C43FA0">
      <w:pPr>
        <w:spacing w:after="160" w:line="259" w:lineRule="auto"/>
        <w:jc w:val="both"/>
        <w:rPr>
          <w:rFonts w:eastAsia="Calibri" w:cstheme="minorHAnsi"/>
        </w:rPr>
      </w:pPr>
    </w:p>
    <w:p w14:paraId="5439D44C" w14:textId="13459158" w:rsidR="00B64A60" w:rsidRPr="00570E7B" w:rsidRDefault="00B64A60" w:rsidP="00C43FA0">
      <w:pPr>
        <w:spacing w:after="160" w:line="259" w:lineRule="auto"/>
        <w:jc w:val="both"/>
        <w:rPr>
          <w:rFonts w:eastAsia="Calibri" w:cstheme="minorHAnsi"/>
        </w:rPr>
      </w:pPr>
      <w:r>
        <w:rPr>
          <w:rFonts w:eastAsia="Calibri" w:cstheme="minorHAnsi"/>
        </w:rPr>
        <w:t>En Castellón a 17</w:t>
      </w:r>
      <w:r w:rsidR="00F670D6">
        <w:rPr>
          <w:rFonts w:eastAsia="Calibri" w:cstheme="minorHAnsi"/>
        </w:rPr>
        <w:t xml:space="preserve"> de noviembre de 2023.</w:t>
      </w:r>
    </w:p>
    <w:p w14:paraId="2AF09DE5" w14:textId="77777777" w:rsidR="00C43FA0" w:rsidRPr="005245C0" w:rsidRDefault="00C43FA0" w:rsidP="00C43FA0">
      <w:pPr>
        <w:spacing w:after="160" w:line="259" w:lineRule="auto"/>
        <w:jc w:val="both"/>
        <w:rPr>
          <w:rFonts w:eastAsia="Calibri" w:cstheme="minorHAnsi"/>
        </w:rPr>
      </w:pPr>
    </w:p>
    <w:p w14:paraId="7B45DEA5" w14:textId="77777777" w:rsidR="00570E7B" w:rsidRPr="00570E7B" w:rsidRDefault="00570E7B" w:rsidP="00570E7B">
      <w:pPr>
        <w:spacing w:after="0" w:line="240" w:lineRule="auto"/>
        <w:ind w:right="134"/>
        <w:jc w:val="both"/>
        <w:rPr>
          <w:rFonts w:eastAsia="Calibri" w:cstheme="minorHAnsi"/>
          <w:b/>
          <w:bCs/>
          <w:u w:val="single"/>
        </w:rPr>
      </w:pPr>
    </w:p>
    <w:sectPr w:rsidR="00570E7B" w:rsidRPr="00570E7B" w:rsidSect="00BC75CD">
      <w:headerReference w:type="default" r:id="rId7"/>
      <w:footerReference w:type="even" r:id="rId8"/>
      <w:footerReference w:type="default" r:id="rId9"/>
      <w:headerReference w:type="first" r:id="rId10"/>
      <w:footerReference w:type="first" r:id="rId11"/>
      <w:pgSz w:w="11906" w:h="16838" w:code="9"/>
      <w:pgMar w:top="2835" w:right="1701" w:bottom="1418" w:left="1701"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1862" w14:textId="77777777" w:rsidR="002C54DA" w:rsidRDefault="002C54DA">
      <w:pPr>
        <w:spacing w:after="0" w:line="240" w:lineRule="auto"/>
      </w:pPr>
      <w:r>
        <w:separator/>
      </w:r>
    </w:p>
  </w:endnote>
  <w:endnote w:type="continuationSeparator" w:id="0">
    <w:p w14:paraId="7360D734" w14:textId="77777777" w:rsidR="002C54DA" w:rsidRDefault="002C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4051" w14:textId="77777777" w:rsidR="00F52B7A" w:rsidRDefault="0071573B" w:rsidP="004453A6">
    <w:pPr>
      <w:pStyle w:val="Piedepgina"/>
      <w:framePr w:wrap="around" w:vAnchor="text" w:hAnchor="margin" w:xAlign="right" w:y="1"/>
      <w:rPr>
        <w:rStyle w:val="Nmerodepgina"/>
      </w:rPr>
    </w:pPr>
    <w:r>
      <w:rPr>
        <w:rStyle w:val="Nmerodepgina"/>
      </w:rPr>
      <w:fldChar w:fldCharType="begin"/>
    </w:r>
    <w:r w:rsidR="00F52B7A">
      <w:rPr>
        <w:rStyle w:val="Nmerodepgina"/>
      </w:rPr>
      <w:instrText xml:space="preserve">PAGE  </w:instrText>
    </w:r>
    <w:r>
      <w:rPr>
        <w:rStyle w:val="Nmerodepgina"/>
      </w:rPr>
      <w:fldChar w:fldCharType="end"/>
    </w:r>
  </w:p>
  <w:p w14:paraId="7D32614D" w14:textId="77777777" w:rsidR="00F52B7A" w:rsidRDefault="00F52B7A" w:rsidP="004453A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0BF" w14:textId="77777777" w:rsidR="00F52B7A" w:rsidRDefault="0071573B" w:rsidP="004453A6">
    <w:pPr>
      <w:pStyle w:val="Piedepgina"/>
      <w:framePr w:wrap="around" w:vAnchor="text" w:hAnchor="margin" w:xAlign="right" w:y="1"/>
      <w:rPr>
        <w:rStyle w:val="Nmerodepgina"/>
      </w:rPr>
    </w:pPr>
    <w:r>
      <w:rPr>
        <w:rStyle w:val="Nmerodepgina"/>
      </w:rPr>
      <w:fldChar w:fldCharType="begin"/>
    </w:r>
    <w:r w:rsidR="00F52B7A">
      <w:rPr>
        <w:rStyle w:val="Nmerodepgina"/>
      </w:rPr>
      <w:instrText xml:space="preserve">PAGE  </w:instrText>
    </w:r>
    <w:r>
      <w:rPr>
        <w:rStyle w:val="Nmerodepgina"/>
      </w:rPr>
      <w:fldChar w:fldCharType="separate"/>
    </w:r>
    <w:r w:rsidR="00E7009D">
      <w:rPr>
        <w:rStyle w:val="Nmerodepgina"/>
        <w:noProof/>
      </w:rPr>
      <w:t>8</w:t>
    </w:r>
    <w:r>
      <w:rPr>
        <w:rStyle w:val="Nmerodepgina"/>
      </w:rPr>
      <w:fldChar w:fldCharType="end"/>
    </w:r>
  </w:p>
  <w:p w14:paraId="69771F54" w14:textId="77777777" w:rsidR="00F52B7A" w:rsidRPr="00220654" w:rsidRDefault="00F52B7A" w:rsidP="004453A6">
    <w:pPr>
      <w:pStyle w:val="Pie"/>
      <w:ind w:right="360"/>
    </w:pPr>
    <w:r>
      <w:br/>
    </w:r>
    <w:r w:rsidRPr="00220654">
      <w:t>Paseo de Recoletos, 13 - 28004 Madrid   ·   Tel.: 91 523 25 93   ·   Fax: 91 532 78 36   ·   informacion@abogacia.es   ·   www.abogacia.es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B4E" w14:textId="77777777" w:rsidR="00F52B7A" w:rsidRPr="00256F4B" w:rsidRDefault="00F52B7A" w:rsidP="004453A6">
    <w:pPr>
      <w:pStyle w:val="Pie"/>
      <w:ind w:right="-568"/>
    </w:pPr>
    <w:r w:rsidRPr="005905C2">
      <w:br/>
    </w:r>
    <w:r w:rsidRPr="00256F4B">
      <w:t>Paseo de Recoletos, 13 - 28004 Madrid   ·   Tel.: 91 523 25 93   ·   Fax: 91 532 78 36   ·   informacion@abogacia.es   ·   www.abogacia.es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1C3F" w14:textId="77777777" w:rsidR="002C54DA" w:rsidRDefault="002C54DA">
      <w:pPr>
        <w:spacing w:after="0" w:line="240" w:lineRule="auto"/>
      </w:pPr>
      <w:r>
        <w:separator/>
      </w:r>
    </w:p>
  </w:footnote>
  <w:footnote w:type="continuationSeparator" w:id="0">
    <w:p w14:paraId="53D7A821" w14:textId="77777777" w:rsidR="002C54DA" w:rsidRDefault="002C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6E27" w14:textId="77777777" w:rsidR="00F52B7A" w:rsidRDefault="00F52B7A" w:rsidP="004453A6">
    <w:pPr>
      <w:pStyle w:val="Encabezado"/>
    </w:pPr>
    <w:r w:rsidRPr="00FB6A65">
      <w:rPr>
        <w:noProof/>
        <w:lang w:eastAsia="es-ES"/>
      </w:rPr>
      <w:drawing>
        <wp:inline distT="0" distB="0" distL="0" distR="0" wp14:anchorId="18C979A9" wp14:editId="044D1400">
          <wp:extent cx="2352674"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381" cy="7714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A416" w14:textId="77777777" w:rsidR="00E000FA" w:rsidRDefault="00F52B7A" w:rsidP="00BC75CD">
    <w:pPr>
      <w:pStyle w:val="Encabezado"/>
      <w:rPr>
        <w:b/>
        <w:color w:val="4F81BD"/>
      </w:rPr>
    </w:pPr>
    <w:r w:rsidRPr="00FB6A65">
      <w:rPr>
        <w:noProof/>
        <w:lang w:eastAsia="es-ES"/>
      </w:rPr>
      <w:drawing>
        <wp:inline distT="0" distB="0" distL="0" distR="0" wp14:anchorId="1C05020B" wp14:editId="072C22C3">
          <wp:extent cx="2352674"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381" cy="771429"/>
                  </a:xfrm>
                  <a:prstGeom prst="rect">
                    <a:avLst/>
                  </a:prstGeom>
                </pic:spPr>
              </pic:pic>
            </a:graphicData>
          </a:graphic>
        </wp:inline>
      </w:drawing>
    </w:r>
    <w:r w:rsidR="00BC75CD">
      <w:tab/>
    </w:r>
    <w:r w:rsidR="00BC75CD">
      <w:tab/>
    </w:r>
    <w:r w:rsidR="00E000FA">
      <w:rPr>
        <w:b/>
        <w:color w:val="4F81BD"/>
      </w:rPr>
      <w:t>Subc</w:t>
    </w:r>
    <w:r w:rsidR="00BC75CD">
      <w:rPr>
        <w:b/>
        <w:color w:val="4F81BD"/>
      </w:rPr>
      <w:t xml:space="preserve">omisión de </w:t>
    </w:r>
    <w:r w:rsidR="00E000FA">
      <w:rPr>
        <w:b/>
        <w:color w:val="4F81BD"/>
      </w:rPr>
      <w:t xml:space="preserve">Extranjería y </w:t>
    </w:r>
  </w:p>
  <w:p w14:paraId="2A71813B" w14:textId="3B431FBE" w:rsidR="00BC75CD" w:rsidRDefault="00E000FA" w:rsidP="00BC75CD">
    <w:pPr>
      <w:pStyle w:val="Encabezado"/>
      <w:rPr>
        <w:b/>
        <w:color w:val="4F81BD"/>
      </w:rPr>
    </w:pPr>
    <w:r>
      <w:rPr>
        <w:noProof/>
        <w:lang w:eastAsia="es-ES"/>
      </w:rPr>
      <w:tab/>
    </w:r>
    <w:r>
      <w:rPr>
        <w:noProof/>
        <w:lang w:eastAsia="es-ES"/>
      </w:rPr>
      <w:tab/>
    </w:r>
    <w:r>
      <w:rPr>
        <w:b/>
        <w:color w:val="4F81BD"/>
      </w:rPr>
      <w:t>Protección Interna</w:t>
    </w:r>
    <w:r w:rsidR="00BC75CD">
      <w:rPr>
        <w:b/>
        <w:color w:val="4F81BD"/>
      </w:rPr>
      <w:t>ci</w:t>
    </w:r>
    <w:r>
      <w:rPr>
        <w:b/>
        <w:color w:val="4F81BD"/>
      </w:rPr>
      <w:t>on</w:t>
    </w:r>
    <w:r w:rsidR="00BC75CD">
      <w:rPr>
        <w:b/>
        <w:color w:val="4F81BD"/>
      </w:rPr>
      <w:t xml:space="preserve">al </w:t>
    </w:r>
  </w:p>
  <w:p w14:paraId="1D8A62E7" w14:textId="5F77716C" w:rsidR="00F52B7A" w:rsidRDefault="00F52B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73E"/>
    <w:multiLevelType w:val="hybridMultilevel"/>
    <w:tmpl w:val="58401D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7474CB"/>
    <w:multiLevelType w:val="hybridMultilevel"/>
    <w:tmpl w:val="A10E1B62"/>
    <w:lvl w:ilvl="0" w:tplc="06A43946">
      <w:start w:val="1"/>
      <w:numFmt w:val="bullet"/>
      <w:lvlText w:val="•"/>
      <w:lvlJc w:val="left"/>
      <w:pPr>
        <w:tabs>
          <w:tab w:val="num" w:pos="720"/>
        </w:tabs>
        <w:ind w:left="720" w:hanging="360"/>
      </w:pPr>
      <w:rPr>
        <w:rFonts w:ascii="Arial" w:hAnsi="Arial" w:hint="default"/>
      </w:rPr>
    </w:lvl>
    <w:lvl w:ilvl="1" w:tplc="B70861D6">
      <w:start w:val="1520"/>
      <w:numFmt w:val="bullet"/>
      <w:lvlText w:val="•"/>
      <w:lvlJc w:val="left"/>
      <w:pPr>
        <w:tabs>
          <w:tab w:val="num" w:pos="1440"/>
        </w:tabs>
        <w:ind w:left="1440" w:hanging="360"/>
      </w:pPr>
      <w:rPr>
        <w:rFonts w:ascii="Arial" w:hAnsi="Arial" w:hint="default"/>
      </w:rPr>
    </w:lvl>
    <w:lvl w:ilvl="2" w:tplc="CD6C62A2">
      <w:start w:val="1520"/>
      <w:numFmt w:val="bullet"/>
      <w:lvlText w:val="•"/>
      <w:lvlJc w:val="left"/>
      <w:pPr>
        <w:tabs>
          <w:tab w:val="num" w:pos="2160"/>
        </w:tabs>
        <w:ind w:left="2160" w:hanging="360"/>
      </w:pPr>
      <w:rPr>
        <w:rFonts w:ascii="Arial" w:hAnsi="Arial" w:hint="default"/>
      </w:rPr>
    </w:lvl>
    <w:lvl w:ilvl="3" w:tplc="5B40FE9E" w:tentative="1">
      <w:start w:val="1"/>
      <w:numFmt w:val="bullet"/>
      <w:lvlText w:val="•"/>
      <w:lvlJc w:val="left"/>
      <w:pPr>
        <w:tabs>
          <w:tab w:val="num" w:pos="2880"/>
        </w:tabs>
        <w:ind w:left="2880" w:hanging="360"/>
      </w:pPr>
      <w:rPr>
        <w:rFonts w:ascii="Arial" w:hAnsi="Arial" w:hint="default"/>
      </w:rPr>
    </w:lvl>
    <w:lvl w:ilvl="4" w:tplc="AB36E7CC" w:tentative="1">
      <w:start w:val="1"/>
      <w:numFmt w:val="bullet"/>
      <w:lvlText w:val="•"/>
      <w:lvlJc w:val="left"/>
      <w:pPr>
        <w:tabs>
          <w:tab w:val="num" w:pos="3600"/>
        </w:tabs>
        <w:ind w:left="3600" w:hanging="360"/>
      </w:pPr>
      <w:rPr>
        <w:rFonts w:ascii="Arial" w:hAnsi="Arial" w:hint="default"/>
      </w:rPr>
    </w:lvl>
    <w:lvl w:ilvl="5" w:tplc="1E2A976E" w:tentative="1">
      <w:start w:val="1"/>
      <w:numFmt w:val="bullet"/>
      <w:lvlText w:val="•"/>
      <w:lvlJc w:val="left"/>
      <w:pPr>
        <w:tabs>
          <w:tab w:val="num" w:pos="4320"/>
        </w:tabs>
        <w:ind w:left="4320" w:hanging="360"/>
      </w:pPr>
      <w:rPr>
        <w:rFonts w:ascii="Arial" w:hAnsi="Arial" w:hint="default"/>
      </w:rPr>
    </w:lvl>
    <w:lvl w:ilvl="6" w:tplc="DC1E039A" w:tentative="1">
      <w:start w:val="1"/>
      <w:numFmt w:val="bullet"/>
      <w:lvlText w:val="•"/>
      <w:lvlJc w:val="left"/>
      <w:pPr>
        <w:tabs>
          <w:tab w:val="num" w:pos="5040"/>
        </w:tabs>
        <w:ind w:left="5040" w:hanging="360"/>
      </w:pPr>
      <w:rPr>
        <w:rFonts w:ascii="Arial" w:hAnsi="Arial" w:hint="default"/>
      </w:rPr>
    </w:lvl>
    <w:lvl w:ilvl="7" w:tplc="6E54FE40" w:tentative="1">
      <w:start w:val="1"/>
      <w:numFmt w:val="bullet"/>
      <w:lvlText w:val="•"/>
      <w:lvlJc w:val="left"/>
      <w:pPr>
        <w:tabs>
          <w:tab w:val="num" w:pos="5760"/>
        </w:tabs>
        <w:ind w:left="5760" w:hanging="360"/>
      </w:pPr>
      <w:rPr>
        <w:rFonts w:ascii="Arial" w:hAnsi="Arial" w:hint="default"/>
      </w:rPr>
    </w:lvl>
    <w:lvl w:ilvl="8" w:tplc="9FAE77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06016"/>
    <w:multiLevelType w:val="hybridMultilevel"/>
    <w:tmpl w:val="356E3AB4"/>
    <w:lvl w:ilvl="0" w:tplc="7B866084">
      <w:numFmt w:val="bullet"/>
      <w:lvlText w:val="-"/>
      <w:lvlJc w:val="left"/>
      <w:pPr>
        <w:ind w:left="1211" w:hanging="36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13BB1463"/>
    <w:multiLevelType w:val="hybridMultilevel"/>
    <w:tmpl w:val="9E12B8DC"/>
    <w:lvl w:ilvl="0" w:tplc="343C5C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A11BA8"/>
    <w:multiLevelType w:val="hybridMultilevel"/>
    <w:tmpl w:val="A4CE15D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30361D1"/>
    <w:multiLevelType w:val="hybridMultilevel"/>
    <w:tmpl w:val="803878A2"/>
    <w:lvl w:ilvl="0" w:tplc="53A2F7F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BB7ECB"/>
    <w:multiLevelType w:val="hybridMultilevel"/>
    <w:tmpl w:val="F73A204A"/>
    <w:lvl w:ilvl="0" w:tplc="FD8ED20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2D29F0"/>
    <w:multiLevelType w:val="hybridMultilevel"/>
    <w:tmpl w:val="A32C56BC"/>
    <w:lvl w:ilvl="0" w:tplc="FC8ACA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9722E8"/>
    <w:multiLevelType w:val="hybridMultilevel"/>
    <w:tmpl w:val="772A2CC2"/>
    <w:lvl w:ilvl="0" w:tplc="C218CDD8">
      <w:numFmt w:val="bullet"/>
      <w:lvlText w:val="-"/>
      <w:lvlJc w:val="left"/>
      <w:pPr>
        <w:ind w:left="2145" w:hanging="360"/>
      </w:pPr>
      <w:rPr>
        <w:rFonts w:ascii="Arial" w:eastAsia="Calibri" w:hAnsi="Arial" w:cs="Aria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9" w15:restartNumberingAfterBreak="0">
    <w:nsid w:val="2F7A10B0"/>
    <w:multiLevelType w:val="hybridMultilevel"/>
    <w:tmpl w:val="ECD09E6E"/>
    <w:lvl w:ilvl="0" w:tplc="268AE3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BD0E39"/>
    <w:multiLevelType w:val="hybridMultilevel"/>
    <w:tmpl w:val="87147DB0"/>
    <w:lvl w:ilvl="0" w:tplc="DC3EDD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1B17E8"/>
    <w:multiLevelType w:val="hybridMultilevel"/>
    <w:tmpl w:val="7952C010"/>
    <w:lvl w:ilvl="0" w:tplc="D37830A4">
      <w:start w:val="1"/>
      <w:numFmt w:val="upp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BC0025C"/>
    <w:multiLevelType w:val="hybridMultilevel"/>
    <w:tmpl w:val="1F824096"/>
    <w:lvl w:ilvl="0" w:tplc="5554F7C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A67623"/>
    <w:multiLevelType w:val="hybridMultilevel"/>
    <w:tmpl w:val="F62EF040"/>
    <w:lvl w:ilvl="0" w:tplc="2314FC7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9104FE"/>
    <w:multiLevelType w:val="hybridMultilevel"/>
    <w:tmpl w:val="2C0C3626"/>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B27D13"/>
    <w:multiLevelType w:val="hybridMultilevel"/>
    <w:tmpl w:val="05B2FB06"/>
    <w:lvl w:ilvl="0" w:tplc="5554F7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CA4393"/>
    <w:multiLevelType w:val="hybridMultilevel"/>
    <w:tmpl w:val="B754BA3E"/>
    <w:lvl w:ilvl="0" w:tplc="0FFC906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416C25"/>
    <w:multiLevelType w:val="hybridMultilevel"/>
    <w:tmpl w:val="E3ACD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D307EA"/>
    <w:multiLevelType w:val="hybridMultilevel"/>
    <w:tmpl w:val="C4C2FD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C40CB0"/>
    <w:multiLevelType w:val="hybridMultilevel"/>
    <w:tmpl w:val="1F708C48"/>
    <w:lvl w:ilvl="0" w:tplc="9F421DC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5771EB"/>
    <w:multiLevelType w:val="hybridMultilevel"/>
    <w:tmpl w:val="F306AFAE"/>
    <w:lvl w:ilvl="0" w:tplc="484284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55A415B"/>
    <w:multiLevelType w:val="hybridMultilevel"/>
    <w:tmpl w:val="2C0C3626"/>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54160941">
    <w:abstractNumId w:val="21"/>
  </w:num>
  <w:num w:numId="2" w16cid:durableId="1594850804">
    <w:abstractNumId w:val="2"/>
  </w:num>
  <w:num w:numId="3" w16cid:durableId="382945999">
    <w:abstractNumId w:val="6"/>
  </w:num>
  <w:num w:numId="4" w16cid:durableId="535506616">
    <w:abstractNumId w:val="8"/>
  </w:num>
  <w:num w:numId="5" w16cid:durableId="1705788726">
    <w:abstractNumId w:val="14"/>
  </w:num>
  <w:num w:numId="6" w16cid:durableId="312023602">
    <w:abstractNumId w:val="11"/>
  </w:num>
  <w:num w:numId="7" w16cid:durableId="545222865">
    <w:abstractNumId w:val="19"/>
  </w:num>
  <w:num w:numId="8" w16cid:durableId="658309164">
    <w:abstractNumId w:val="13"/>
  </w:num>
  <w:num w:numId="9" w16cid:durableId="2074423325">
    <w:abstractNumId w:val="15"/>
  </w:num>
  <w:num w:numId="10" w16cid:durableId="747767367">
    <w:abstractNumId w:val="3"/>
  </w:num>
  <w:num w:numId="11" w16cid:durableId="140778313">
    <w:abstractNumId w:val="7"/>
  </w:num>
  <w:num w:numId="12" w16cid:durableId="1219439287">
    <w:abstractNumId w:val="9"/>
  </w:num>
  <w:num w:numId="13" w16cid:durableId="1649089691">
    <w:abstractNumId w:val="10"/>
  </w:num>
  <w:num w:numId="14" w16cid:durableId="395907321">
    <w:abstractNumId w:val="16"/>
  </w:num>
  <w:num w:numId="15" w16cid:durableId="411006598">
    <w:abstractNumId w:val="12"/>
  </w:num>
  <w:num w:numId="16" w16cid:durableId="10304434">
    <w:abstractNumId w:val="5"/>
  </w:num>
  <w:num w:numId="17" w16cid:durableId="1331906501">
    <w:abstractNumId w:val="18"/>
  </w:num>
  <w:num w:numId="18" w16cid:durableId="527373534">
    <w:abstractNumId w:val="17"/>
  </w:num>
  <w:num w:numId="19" w16cid:durableId="2019845940">
    <w:abstractNumId w:val="20"/>
  </w:num>
  <w:num w:numId="20" w16cid:durableId="961616144">
    <w:abstractNumId w:val="1"/>
  </w:num>
  <w:num w:numId="21" w16cid:durableId="2093116918">
    <w:abstractNumId w:val="0"/>
  </w:num>
  <w:num w:numId="22" w16cid:durableId="1664430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FE"/>
    <w:rsid w:val="0000176D"/>
    <w:rsid w:val="0000270C"/>
    <w:rsid w:val="00024D2E"/>
    <w:rsid w:val="000256EA"/>
    <w:rsid w:val="000403A8"/>
    <w:rsid w:val="00045A5E"/>
    <w:rsid w:val="0004756B"/>
    <w:rsid w:val="00054A30"/>
    <w:rsid w:val="00056A53"/>
    <w:rsid w:val="000576F5"/>
    <w:rsid w:val="00062E8A"/>
    <w:rsid w:val="00067D5E"/>
    <w:rsid w:val="000750CB"/>
    <w:rsid w:val="00077FA2"/>
    <w:rsid w:val="000A0CD1"/>
    <w:rsid w:val="000A62E5"/>
    <w:rsid w:val="000C2A50"/>
    <w:rsid w:val="000C6DB5"/>
    <w:rsid w:val="000D13BF"/>
    <w:rsid w:val="000D168E"/>
    <w:rsid w:val="000D7FEE"/>
    <w:rsid w:val="000E2E78"/>
    <w:rsid w:val="000E69EB"/>
    <w:rsid w:val="000F5CBB"/>
    <w:rsid w:val="00114433"/>
    <w:rsid w:val="001316EC"/>
    <w:rsid w:val="0013462B"/>
    <w:rsid w:val="00145607"/>
    <w:rsid w:val="001509B1"/>
    <w:rsid w:val="001563A6"/>
    <w:rsid w:val="001628A0"/>
    <w:rsid w:val="0016594E"/>
    <w:rsid w:val="00166AF7"/>
    <w:rsid w:val="00172F07"/>
    <w:rsid w:val="00186F77"/>
    <w:rsid w:val="00190645"/>
    <w:rsid w:val="001A47BD"/>
    <w:rsid w:val="001B1D79"/>
    <w:rsid w:val="001B4250"/>
    <w:rsid w:val="001B4764"/>
    <w:rsid w:val="001C79D1"/>
    <w:rsid w:val="001D0924"/>
    <w:rsid w:val="001D14DC"/>
    <w:rsid w:val="001D5F6C"/>
    <w:rsid w:val="001E0751"/>
    <w:rsid w:val="001E412A"/>
    <w:rsid w:val="001F1300"/>
    <w:rsid w:val="001F31E6"/>
    <w:rsid w:val="00200AB7"/>
    <w:rsid w:val="00206F88"/>
    <w:rsid w:val="002101A9"/>
    <w:rsid w:val="0021340E"/>
    <w:rsid w:val="00227894"/>
    <w:rsid w:val="0023330B"/>
    <w:rsid w:val="0024376F"/>
    <w:rsid w:val="002507F3"/>
    <w:rsid w:val="002540AE"/>
    <w:rsid w:val="00255FD3"/>
    <w:rsid w:val="00256902"/>
    <w:rsid w:val="00257C57"/>
    <w:rsid w:val="0026000C"/>
    <w:rsid w:val="00270A3F"/>
    <w:rsid w:val="00271FEE"/>
    <w:rsid w:val="0027262F"/>
    <w:rsid w:val="00273062"/>
    <w:rsid w:val="002813E9"/>
    <w:rsid w:val="00287E13"/>
    <w:rsid w:val="0029098E"/>
    <w:rsid w:val="002919C2"/>
    <w:rsid w:val="00292F9B"/>
    <w:rsid w:val="002A1A3A"/>
    <w:rsid w:val="002C54DA"/>
    <w:rsid w:val="002C6137"/>
    <w:rsid w:val="002D0C0E"/>
    <w:rsid w:val="002D118F"/>
    <w:rsid w:val="002D33D1"/>
    <w:rsid w:val="002E083F"/>
    <w:rsid w:val="002E5209"/>
    <w:rsid w:val="00302293"/>
    <w:rsid w:val="00302816"/>
    <w:rsid w:val="003041D1"/>
    <w:rsid w:val="00306B88"/>
    <w:rsid w:val="0031502A"/>
    <w:rsid w:val="00320A4F"/>
    <w:rsid w:val="00337977"/>
    <w:rsid w:val="00340AC6"/>
    <w:rsid w:val="00342AE5"/>
    <w:rsid w:val="003444DB"/>
    <w:rsid w:val="003522F9"/>
    <w:rsid w:val="00355292"/>
    <w:rsid w:val="003574DD"/>
    <w:rsid w:val="00362C00"/>
    <w:rsid w:val="00366F86"/>
    <w:rsid w:val="003719FA"/>
    <w:rsid w:val="00373FAD"/>
    <w:rsid w:val="003746A3"/>
    <w:rsid w:val="00374DD0"/>
    <w:rsid w:val="00377B7C"/>
    <w:rsid w:val="00381AD6"/>
    <w:rsid w:val="0038343C"/>
    <w:rsid w:val="00385AC4"/>
    <w:rsid w:val="00385E29"/>
    <w:rsid w:val="00392AB8"/>
    <w:rsid w:val="00396CED"/>
    <w:rsid w:val="00397FF9"/>
    <w:rsid w:val="003B0B2E"/>
    <w:rsid w:val="003B24FD"/>
    <w:rsid w:val="003B366F"/>
    <w:rsid w:val="003B5B74"/>
    <w:rsid w:val="003C0A31"/>
    <w:rsid w:val="003C48B4"/>
    <w:rsid w:val="003D20FD"/>
    <w:rsid w:val="003D6322"/>
    <w:rsid w:val="003E2CBE"/>
    <w:rsid w:val="003E7C37"/>
    <w:rsid w:val="003F4BA4"/>
    <w:rsid w:val="003F6CC9"/>
    <w:rsid w:val="0040677C"/>
    <w:rsid w:val="004123D7"/>
    <w:rsid w:val="004132FF"/>
    <w:rsid w:val="004174FE"/>
    <w:rsid w:val="00424E73"/>
    <w:rsid w:val="00425E74"/>
    <w:rsid w:val="0043352A"/>
    <w:rsid w:val="00440CCE"/>
    <w:rsid w:val="00440EFE"/>
    <w:rsid w:val="00440F60"/>
    <w:rsid w:val="00444918"/>
    <w:rsid w:val="004453A6"/>
    <w:rsid w:val="004565E1"/>
    <w:rsid w:val="00462345"/>
    <w:rsid w:val="004652CF"/>
    <w:rsid w:val="004813AC"/>
    <w:rsid w:val="004814CE"/>
    <w:rsid w:val="0049050D"/>
    <w:rsid w:val="004A2F29"/>
    <w:rsid w:val="004A7EB5"/>
    <w:rsid w:val="004B72BD"/>
    <w:rsid w:val="004C0C97"/>
    <w:rsid w:val="004D1815"/>
    <w:rsid w:val="004E16AE"/>
    <w:rsid w:val="004E387F"/>
    <w:rsid w:val="004F6345"/>
    <w:rsid w:val="004F662D"/>
    <w:rsid w:val="005018D5"/>
    <w:rsid w:val="00503A98"/>
    <w:rsid w:val="00504EF2"/>
    <w:rsid w:val="00510944"/>
    <w:rsid w:val="005162D7"/>
    <w:rsid w:val="005245C0"/>
    <w:rsid w:val="0052477F"/>
    <w:rsid w:val="00524ED5"/>
    <w:rsid w:val="0052624E"/>
    <w:rsid w:val="00527789"/>
    <w:rsid w:val="00536589"/>
    <w:rsid w:val="0054157D"/>
    <w:rsid w:val="00541FE4"/>
    <w:rsid w:val="005423D0"/>
    <w:rsid w:val="005435EA"/>
    <w:rsid w:val="00551E40"/>
    <w:rsid w:val="005556BF"/>
    <w:rsid w:val="00570E7B"/>
    <w:rsid w:val="00571B0D"/>
    <w:rsid w:val="00585F80"/>
    <w:rsid w:val="00587196"/>
    <w:rsid w:val="00591BE0"/>
    <w:rsid w:val="0059619E"/>
    <w:rsid w:val="005A3D48"/>
    <w:rsid w:val="005B3221"/>
    <w:rsid w:val="005C32D4"/>
    <w:rsid w:val="005C4574"/>
    <w:rsid w:val="005D2193"/>
    <w:rsid w:val="005D6100"/>
    <w:rsid w:val="005F4ED3"/>
    <w:rsid w:val="005F526A"/>
    <w:rsid w:val="0061651B"/>
    <w:rsid w:val="00624F0B"/>
    <w:rsid w:val="0062523D"/>
    <w:rsid w:val="006312A7"/>
    <w:rsid w:val="00631753"/>
    <w:rsid w:val="0063235A"/>
    <w:rsid w:val="00644FC3"/>
    <w:rsid w:val="00653C80"/>
    <w:rsid w:val="00660DFB"/>
    <w:rsid w:val="00662477"/>
    <w:rsid w:val="0066622E"/>
    <w:rsid w:val="00666BE3"/>
    <w:rsid w:val="006720FF"/>
    <w:rsid w:val="00673CA9"/>
    <w:rsid w:val="006A585D"/>
    <w:rsid w:val="006A5F6A"/>
    <w:rsid w:val="006B06A8"/>
    <w:rsid w:val="006B0C03"/>
    <w:rsid w:val="006B7080"/>
    <w:rsid w:val="006C20A7"/>
    <w:rsid w:val="006C2E98"/>
    <w:rsid w:val="006C76D0"/>
    <w:rsid w:val="006C7CE0"/>
    <w:rsid w:val="006D0DED"/>
    <w:rsid w:val="006E30FC"/>
    <w:rsid w:val="006E4CB2"/>
    <w:rsid w:val="006E7C54"/>
    <w:rsid w:val="006F1116"/>
    <w:rsid w:val="00704315"/>
    <w:rsid w:val="007043B6"/>
    <w:rsid w:val="0070574D"/>
    <w:rsid w:val="00710956"/>
    <w:rsid w:val="00711BFA"/>
    <w:rsid w:val="0071326B"/>
    <w:rsid w:val="007136BC"/>
    <w:rsid w:val="007141A0"/>
    <w:rsid w:val="0071573B"/>
    <w:rsid w:val="00717043"/>
    <w:rsid w:val="00721F66"/>
    <w:rsid w:val="00725DAA"/>
    <w:rsid w:val="0073227E"/>
    <w:rsid w:val="00733720"/>
    <w:rsid w:val="00733CF0"/>
    <w:rsid w:val="0074080A"/>
    <w:rsid w:val="00743E8B"/>
    <w:rsid w:val="00744BE6"/>
    <w:rsid w:val="00744D91"/>
    <w:rsid w:val="0074588B"/>
    <w:rsid w:val="0075600B"/>
    <w:rsid w:val="00756229"/>
    <w:rsid w:val="007621B9"/>
    <w:rsid w:val="00762FE3"/>
    <w:rsid w:val="00767F6D"/>
    <w:rsid w:val="00770E7F"/>
    <w:rsid w:val="00776B4A"/>
    <w:rsid w:val="00785212"/>
    <w:rsid w:val="0079048C"/>
    <w:rsid w:val="00790648"/>
    <w:rsid w:val="007A7930"/>
    <w:rsid w:val="007B301B"/>
    <w:rsid w:val="007B67E9"/>
    <w:rsid w:val="007B68EF"/>
    <w:rsid w:val="007B7F70"/>
    <w:rsid w:val="007C50E0"/>
    <w:rsid w:val="007F23C7"/>
    <w:rsid w:val="008022BF"/>
    <w:rsid w:val="0080556A"/>
    <w:rsid w:val="00806DAB"/>
    <w:rsid w:val="008139AD"/>
    <w:rsid w:val="00813B86"/>
    <w:rsid w:val="00814EC9"/>
    <w:rsid w:val="00816745"/>
    <w:rsid w:val="008217AA"/>
    <w:rsid w:val="00826986"/>
    <w:rsid w:val="008345E5"/>
    <w:rsid w:val="0084050D"/>
    <w:rsid w:val="00851ED7"/>
    <w:rsid w:val="0085452C"/>
    <w:rsid w:val="008567A8"/>
    <w:rsid w:val="00857A10"/>
    <w:rsid w:val="00875A31"/>
    <w:rsid w:val="00876F6C"/>
    <w:rsid w:val="00887D9C"/>
    <w:rsid w:val="008A396C"/>
    <w:rsid w:val="008A4FF8"/>
    <w:rsid w:val="008A50F1"/>
    <w:rsid w:val="008A5C6C"/>
    <w:rsid w:val="008A5F83"/>
    <w:rsid w:val="008B147F"/>
    <w:rsid w:val="008B31AF"/>
    <w:rsid w:val="008C2C1C"/>
    <w:rsid w:val="008C7D71"/>
    <w:rsid w:val="008D3431"/>
    <w:rsid w:val="008D606D"/>
    <w:rsid w:val="008E4FCE"/>
    <w:rsid w:val="008F2F4A"/>
    <w:rsid w:val="008F384B"/>
    <w:rsid w:val="008F3A1E"/>
    <w:rsid w:val="008F4D1C"/>
    <w:rsid w:val="008F6EA7"/>
    <w:rsid w:val="009070A5"/>
    <w:rsid w:val="00911FED"/>
    <w:rsid w:val="009157EA"/>
    <w:rsid w:val="0092364C"/>
    <w:rsid w:val="00924521"/>
    <w:rsid w:val="00924B80"/>
    <w:rsid w:val="009266BA"/>
    <w:rsid w:val="00934FF9"/>
    <w:rsid w:val="00937C8B"/>
    <w:rsid w:val="009439B1"/>
    <w:rsid w:val="009445CE"/>
    <w:rsid w:val="00952BDE"/>
    <w:rsid w:val="00953B97"/>
    <w:rsid w:val="009548E1"/>
    <w:rsid w:val="009556CE"/>
    <w:rsid w:val="00962876"/>
    <w:rsid w:val="009717F3"/>
    <w:rsid w:val="009723A6"/>
    <w:rsid w:val="00975606"/>
    <w:rsid w:val="00975F58"/>
    <w:rsid w:val="00976638"/>
    <w:rsid w:val="009A2A28"/>
    <w:rsid w:val="009A33CD"/>
    <w:rsid w:val="009A7103"/>
    <w:rsid w:val="009C30BA"/>
    <w:rsid w:val="009D0939"/>
    <w:rsid w:val="009D3C24"/>
    <w:rsid w:val="009D41DF"/>
    <w:rsid w:val="009D71C8"/>
    <w:rsid w:val="009E27D4"/>
    <w:rsid w:val="009F082C"/>
    <w:rsid w:val="009F14E6"/>
    <w:rsid w:val="009F37D3"/>
    <w:rsid w:val="009F65AE"/>
    <w:rsid w:val="00A03BF1"/>
    <w:rsid w:val="00A04B8F"/>
    <w:rsid w:val="00A051AE"/>
    <w:rsid w:val="00A13AFD"/>
    <w:rsid w:val="00A17042"/>
    <w:rsid w:val="00A27341"/>
    <w:rsid w:val="00A27D68"/>
    <w:rsid w:val="00A3120F"/>
    <w:rsid w:val="00A332E0"/>
    <w:rsid w:val="00A33486"/>
    <w:rsid w:val="00A34249"/>
    <w:rsid w:val="00A5294F"/>
    <w:rsid w:val="00A55A4C"/>
    <w:rsid w:val="00A615D7"/>
    <w:rsid w:val="00A73EBD"/>
    <w:rsid w:val="00A74C73"/>
    <w:rsid w:val="00A77D05"/>
    <w:rsid w:val="00A907C5"/>
    <w:rsid w:val="00A92689"/>
    <w:rsid w:val="00A93EEF"/>
    <w:rsid w:val="00AA2364"/>
    <w:rsid w:val="00AA652A"/>
    <w:rsid w:val="00AC4C4D"/>
    <w:rsid w:val="00AE29CB"/>
    <w:rsid w:val="00AE3948"/>
    <w:rsid w:val="00AE62E6"/>
    <w:rsid w:val="00B035E6"/>
    <w:rsid w:val="00B05F75"/>
    <w:rsid w:val="00B16967"/>
    <w:rsid w:val="00B2216B"/>
    <w:rsid w:val="00B241D8"/>
    <w:rsid w:val="00B2768E"/>
    <w:rsid w:val="00B334D0"/>
    <w:rsid w:val="00B37BF6"/>
    <w:rsid w:val="00B405F3"/>
    <w:rsid w:val="00B5042F"/>
    <w:rsid w:val="00B5482D"/>
    <w:rsid w:val="00B5486B"/>
    <w:rsid w:val="00B549B6"/>
    <w:rsid w:val="00B64A60"/>
    <w:rsid w:val="00B674E7"/>
    <w:rsid w:val="00B74191"/>
    <w:rsid w:val="00B80343"/>
    <w:rsid w:val="00B854B8"/>
    <w:rsid w:val="00B95570"/>
    <w:rsid w:val="00B95C57"/>
    <w:rsid w:val="00BA29DC"/>
    <w:rsid w:val="00BA3D2A"/>
    <w:rsid w:val="00BB1484"/>
    <w:rsid w:val="00BB5841"/>
    <w:rsid w:val="00BC006C"/>
    <w:rsid w:val="00BC5E92"/>
    <w:rsid w:val="00BC7183"/>
    <w:rsid w:val="00BC75CD"/>
    <w:rsid w:val="00BD118A"/>
    <w:rsid w:val="00BD251E"/>
    <w:rsid w:val="00BD72CC"/>
    <w:rsid w:val="00BE2491"/>
    <w:rsid w:val="00BF1ACF"/>
    <w:rsid w:val="00C05D1E"/>
    <w:rsid w:val="00C135E1"/>
    <w:rsid w:val="00C13857"/>
    <w:rsid w:val="00C13984"/>
    <w:rsid w:val="00C15337"/>
    <w:rsid w:val="00C15E21"/>
    <w:rsid w:val="00C2023A"/>
    <w:rsid w:val="00C24B29"/>
    <w:rsid w:val="00C30D65"/>
    <w:rsid w:val="00C32A70"/>
    <w:rsid w:val="00C33FF2"/>
    <w:rsid w:val="00C43FA0"/>
    <w:rsid w:val="00C47647"/>
    <w:rsid w:val="00C51A11"/>
    <w:rsid w:val="00C535D1"/>
    <w:rsid w:val="00C546A2"/>
    <w:rsid w:val="00C6028F"/>
    <w:rsid w:val="00C62E55"/>
    <w:rsid w:val="00C6404C"/>
    <w:rsid w:val="00C67E59"/>
    <w:rsid w:val="00C756C9"/>
    <w:rsid w:val="00C85756"/>
    <w:rsid w:val="00C91815"/>
    <w:rsid w:val="00C91A18"/>
    <w:rsid w:val="00C9262F"/>
    <w:rsid w:val="00CA24B5"/>
    <w:rsid w:val="00CA7D01"/>
    <w:rsid w:val="00CB6B9E"/>
    <w:rsid w:val="00CB7D76"/>
    <w:rsid w:val="00CC22FE"/>
    <w:rsid w:val="00CD23E9"/>
    <w:rsid w:val="00CD4428"/>
    <w:rsid w:val="00CE7DDA"/>
    <w:rsid w:val="00D01450"/>
    <w:rsid w:val="00D0266F"/>
    <w:rsid w:val="00D108E9"/>
    <w:rsid w:val="00D13616"/>
    <w:rsid w:val="00D13B60"/>
    <w:rsid w:val="00D20BED"/>
    <w:rsid w:val="00D2655C"/>
    <w:rsid w:val="00D353AE"/>
    <w:rsid w:val="00D37724"/>
    <w:rsid w:val="00D417D4"/>
    <w:rsid w:val="00D44C60"/>
    <w:rsid w:val="00D514EB"/>
    <w:rsid w:val="00D5622D"/>
    <w:rsid w:val="00D57647"/>
    <w:rsid w:val="00D62D1F"/>
    <w:rsid w:val="00D7303B"/>
    <w:rsid w:val="00D96108"/>
    <w:rsid w:val="00D9670E"/>
    <w:rsid w:val="00D9699C"/>
    <w:rsid w:val="00DA1C97"/>
    <w:rsid w:val="00DA5A1C"/>
    <w:rsid w:val="00DC07F6"/>
    <w:rsid w:val="00DC08C5"/>
    <w:rsid w:val="00DC2A30"/>
    <w:rsid w:val="00DC7BC0"/>
    <w:rsid w:val="00DD53FC"/>
    <w:rsid w:val="00DE7B79"/>
    <w:rsid w:val="00DF4E8D"/>
    <w:rsid w:val="00E000FA"/>
    <w:rsid w:val="00E22F5E"/>
    <w:rsid w:val="00E276F5"/>
    <w:rsid w:val="00E474EB"/>
    <w:rsid w:val="00E54957"/>
    <w:rsid w:val="00E55C67"/>
    <w:rsid w:val="00E57168"/>
    <w:rsid w:val="00E6040E"/>
    <w:rsid w:val="00E6641C"/>
    <w:rsid w:val="00E7009D"/>
    <w:rsid w:val="00E710F5"/>
    <w:rsid w:val="00E80A97"/>
    <w:rsid w:val="00E80F07"/>
    <w:rsid w:val="00EA03C4"/>
    <w:rsid w:val="00EA073B"/>
    <w:rsid w:val="00EA1B5E"/>
    <w:rsid w:val="00EA3D4D"/>
    <w:rsid w:val="00EB76F7"/>
    <w:rsid w:val="00EC4B4D"/>
    <w:rsid w:val="00EC5B6C"/>
    <w:rsid w:val="00EC6FB0"/>
    <w:rsid w:val="00ED5AD1"/>
    <w:rsid w:val="00EE014D"/>
    <w:rsid w:val="00EE62DA"/>
    <w:rsid w:val="00EF1279"/>
    <w:rsid w:val="00EF60BB"/>
    <w:rsid w:val="00F153C3"/>
    <w:rsid w:val="00F171E9"/>
    <w:rsid w:val="00F36908"/>
    <w:rsid w:val="00F3762A"/>
    <w:rsid w:val="00F412C9"/>
    <w:rsid w:val="00F443C4"/>
    <w:rsid w:val="00F462F1"/>
    <w:rsid w:val="00F52B7A"/>
    <w:rsid w:val="00F54594"/>
    <w:rsid w:val="00F54FEA"/>
    <w:rsid w:val="00F66B27"/>
    <w:rsid w:val="00F670D6"/>
    <w:rsid w:val="00F67D77"/>
    <w:rsid w:val="00F701E9"/>
    <w:rsid w:val="00F82C49"/>
    <w:rsid w:val="00F867C0"/>
    <w:rsid w:val="00F9083A"/>
    <w:rsid w:val="00FA12F6"/>
    <w:rsid w:val="00FA237C"/>
    <w:rsid w:val="00FA6D02"/>
    <w:rsid w:val="00FB665F"/>
    <w:rsid w:val="00FB6A65"/>
    <w:rsid w:val="00FC1C11"/>
    <w:rsid w:val="00FD5F0D"/>
    <w:rsid w:val="00FE2A9A"/>
    <w:rsid w:val="00FF59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38D93"/>
  <w15:docId w15:val="{8A3BD0A3-72C6-4A4B-B43B-BA1F517D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C22FE"/>
    <w:pPr>
      <w:tabs>
        <w:tab w:val="center" w:pos="4252"/>
        <w:tab w:val="right" w:pos="8504"/>
      </w:tabs>
      <w:spacing w:after="0" w:line="240" w:lineRule="auto"/>
      <w:ind w:left="-851"/>
      <w:jc w:val="both"/>
    </w:pPr>
    <w:rPr>
      <w:rFonts w:ascii="Calibri" w:eastAsia="Calibri" w:hAnsi="Calibri" w:cs="Calibri"/>
    </w:rPr>
  </w:style>
  <w:style w:type="character" w:customStyle="1" w:styleId="EncabezadoCar">
    <w:name w:val="Encabezado Car"/>
    <w:basedOn w:val="Fuentedeprrafopredeter"/>
    <w:link w:val="Encabezado"/>
    <w:uiPriority w:val="99"/>
    <w:rsid w:val="00CC22FE"/>
    <w:rPr>
      <w:rFonts w:ascii="Calibri" w:eastAsia="Calibri" w:hAnsi="Calibri" w:cs="Calibri"/>
    </w:rPr>
  </w:style>
  <w:style w:type="paragraph" w:styleId="Piedepgina">
    <w:name w:val="footer"/>
    <w:basedOn w:val="Normal"/>
    <w:link w:val="PiedepginaCar"/>
    <w:uiPriority w:val="99"/>
    <w:rsid w:val="00CC22FE"/>
    <w:pPr>
      <w:tabs>
        <w:tab w:val="center" w:pos="4252"/>
        <w:tab w:val="right" w:pos="8504"/>
      </w:tabs>
      <w:spacing w:after="0" w:line="240" w:lineRule="auto"/>
      <w:jc w:val="both"/>
    </w:pPr>
    <w:rPr>
      <w:rFonts w:ascii="Calibri" w:eastAsia="Calibri" w:hAnsi="Calibri" w:cs="Calibri"/>
    </w:rPr>
  </w:style>
  <w:style w:type="character" w:customStyle="1" w:styleId="PiedepginaCar">
    <w:name w:val="Pie de página Car"/>
    <w:basedOn w:val="Fuentedeprrafopredeter"/>
    <w:link w:val="Piedepgina"/>
    <w:uiPriority w:val="99"/>
    <w:rsid w:val="00CC22FE"/>
    <w:rPr>
      <w:rFonts w:ascii="Calibri" w:eastAsia="Calibri" w:hAnsi="Calibri" w:cs="Calibri"/>
    </w:rPr>
  </w:style>
  <w:style w:type="paragraph" w:customStyle="1" w:styleId="Pie">
    <w:name w:val="Pie"/>
    <w:basedOn w:val="Normal"/>
    <w:uiPriority w:val="99"/>
    <w:rsid w:val="00CC22FE"/>
    <w:pPr>
      <w:pBdr>
        <w:top w:val="single" w:sz="2" w:space="1" w:color="00436C"/>
      </w:pBdr>
      <w:ind w:left="-851"/>
      <w:jc w:val="center"/>
    </w:pPr>
    <w:rPr>
      <w:rFonts w:ascii="Calibri" w:eastAsia="Calibri" w:hAnsi="Calibri" w:cs="Calibri"/>
      <w:color w:val="00436C"/>
      <w:sz w:val="14"/>
      <w:szCs w:val="14"/>
    </w:rPr>
  </w:style>
  <w:style w:type="character" w:styleId="Nmerodepgina">
    <w:name w:val="page number"/>
    <w:basedOn w:val="Fuentedeprrafopredeter"/>
    <w:uiPriority w:val="99"/>
    <w:rsid w:val="00CC22FE"/>
  </w:style>
  <w:style w:type="paragraph" w:styleId="Prrafodelista">
    <w:name w:val="List Paragraph"/>
    <w:basedOn w:val="Normal"/>
    <w:uiPriority w:val="34"/>
    <w:qFormat/>
    <w:rsid w:val="00CC22FE"/>
    <w:pPr>
      <w:ind w:left="720"/>
      <w:contextualSpacing/>
      <w:jc w:val="both"/>
    </w:pPr>
    <w:rPr>
      <w:rFonts w:ascii="Calibri" w:eastAsia="Calibri" w:hAnsi="Calibri" w:cs="Calibri"/>
    </w:rPr>
  </w:style>
  <w:style w:type="character" w:styleId="Hipervnculo">
    <w:name w:val="Hyperlink"/>
    <w:basedOn w:val="Fuentedeprrafopredeter"/>
    <w:uiPriority w:val="99"/>
    <w:unhideWhenUsed/>
    <w:rsid w:val="00CC22FE"/>
    <w:rPr>
      <w:color w:val="0000FF" w:themeColor="hyperlink"/>
      <w:u w:val="single"/>
    </w:rPr>
  </w:style>
  <w:style w:type="paragraph" w:styleId="Textodeglobo">
    <w:name w:val="Balloon Text"/>
    <w:basedOn w:val="Normal"/>
    <w:link w:val="TextodegloboCar"/>
    <w:uiPriority w:val="99"/>
    <w:semiHidden/>
    <w:unhideWhenUsed/>
    <w:rsid w:val="00CC22FE"/>
    <w:pPr>
      <w:spacing w:after="0" w:line="240" w:lineRule="auto"/>
      <w:jc w:val="both"/>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CC22FE"/>
    <w:rPr>
      <w:rFonts w:ascii="Tahoma" w:eastAsia="Calibri" w:hAnsi="Tahoma" w:cs="Tahoma"/>
      <w:sz w:val="16"/>
      <w:szCs w:val="16"/>
    </w:rPr>
  </w:style>
  <w:style w:type="paragraph" w:customStyle="1" w:styleId="Cuerpo">
    <w:name w:val="Cuerpo"/>
    <w:rsid w:val="00BC75CD"/>
    <w:pPr>
      <w:pBdr>
        <w:top w:val="none" w:sz="0" w:space="0" w:color="000000"/>
        <w:left w:val="none" w:sz="0" w:space="0" w:color="000000"/>
        <w:bottom w:val="none" w:sz="0" w:space="0" w:color="000000"/>
        <w:right w:val="none" w:sz="0" w:space="0" w:color="000000"/>
      </w:pBdr>
      <w:shd w:val="clear" w:color="auto" w:fill="FFFFFF"/>
      <w:suppressAutoHyphens/>
    </w:pPr>
    <w:rPr>
      <w:rFonts w:ascii="Calibri" w:eastAsia="Calibri" w:hAnsi="Calibri" w:cs="Calibri"/>
      <w:color w:val="00000A"/>
      <w:u w:color="00000A"/>
      <w:lang w:val="gl-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162">
      <w:bodyDiv w:val="1"/>
      <w:marLeft w:val="0"/>
      <w:marRight w:val="0"/>
      <w:marTop w:val="0"/>
      <w:marBottom w:val="0"/>
      <w:divBdr>
        <w:top w:val="none" w:sz="0" w:space="0" w:color="auto"/>
        <w:left w:val="none" w:sz="0" w:space="0" w:color="auto"/>
        <w:bottom w:val="none" w:sz="0" w:space="0" w:color="auto"/>
        <w:right w:val="none" w:sz="0" w:space="0" w:color="auto"/>
      </w:divBdr>
    </w:div>
    <w:div w:id="206531876">
      <w:bodyDiv w:val="1"/>
      <w:marLeft w:val="0"/>
      <w:marRight w:val="0"/>
      <w:marTop w:val="0"/>
      <w:marBottom w:val="0"/>
      <w:divBdr>
        <w:top w:val="none" w:sz="0" w:space="0" w:color="auto"/>
        <w:left w:val="none" w:sz="0" w:space="0" w:color="auto"/>
        <w:bottom w:val="none" w:sz="0" w:space="0" w:color="auto"/>
        <w:right w:val="none" w:sz="0" w:space="0" w:color="auto"/>
      </w:divBdr>
    </w:div>
    <w:div w:id="509682672">
      <w:bodyDiv w:val="1"/>
      <w:marLeft w:val="0"/>
      <w:marRight w:val="0"/>
      <w:marTop w:val="0"/>
      <w:marBottom w:val="0"/>
      <w:divBdr>
        <w:top w:val="none" w:sz="0" w:space="0" w:color="auto"/>
        <w:left w:val="none" w:sz="0" w:space="0" w:color="auto"/>
        <w:bottom w:val="none" w:sz="0" w:space="0" w:color="auto"/>
        <w:right w:val="none" w:sz="0" w:space="0" w:color="auto"/>
      </w:divBdr>
    </w:div>
    <w:div w:id="602686251">
      <w:bodyDiv w:val="1"/>
      <w:marLeft w:val="0"/>
      <w:marRight w:val="0"/>
      <w:marTop w:val="0"/>
      <w:marBottom w:val="0"/>
      <w:divBdr>
        <w:top w:val="none" w:sz="0" w:space="0" w:color="auto"/>
        <w:left w:val="none" w:sz="0" w:space="0" w:color="auto"/>
        <w:bottom w:val="none" w:sz="0" w:space="0" w:color="auto"/>
        <w:right w:val="none" w:sz="0" w:space="0" w:color="auto"/>
      </w:divBdr>
    </w:div>
    <w:div w:id="610667766">
      <w:bodyDiv w:val="1"/>
      <w:marLeft w:val="0"/>
      <w:marRight w:val="0"/>
      <w:marTop w:val="0"/>
      <w:marBottom w:val="0"/>
      <w:divBdr>
        <w:top w:val="none" w:sz="0" w:space="0" w:color="auto"/>
        <w:left w:val="none" w:sz="0" w:space="0" w:color="auto"/>
        <w:bottom w:val="none" w:sz="0" w:space="0" w:color="auto"/>
        <w:right w:val="none" w:sz="0" w:space="0" w:color="auto"/>
      </w:divBdr>
    </w:div>
    <w:div w:id="955864687">
      <w:bodyDiv w:val="1"/>
      <w:marLeft w:val="0"/>
      <w:marRight w:val="0"/>
      <w:marTop w:val="0"/>
      <w:marBottom w:val="0"/>
      <w:divBdr>
        <w:top w:val="none" w:sz="0" w:space="0" w:color="auto"/>
        <w:left w:val="none" w:sz="0" w:space="0" w:color="auto"/>
        <w:bottom w:val="none" w:sz="0" w:space="0" w:color="auto"/>
        <w:right w:val="none" w:sz="0" w:space="0" w:color="auto"/>
      </w:divBdr>
    </w:div>
    <w:div w:id="1010765025">
      <w:bodyDiv w:val="1"/>
      <w:marLeft w:val="0"/>
      <w:marRight w:val="0"/>
      <w:marTop w:val="0"/>
      <w:marBottom w:val="0"/>
      <w:divBdr>
        <w:top w:val="none" w:sz="0" w:space="0" w:color="auto"/>
        <w:left w:val="none" w:sz="0" w:space="0" w:color="auto"/>
        <w:bottom w:val="none" w:sz="0" w:space="0" w:color="auto"/>
        <w:right w:val="none" w:sz="0" w:space="0" w:color="auto"/>
      </w:divBdr>
    </w:div>
    <w:div w:id="1313873433">
      <w:bodyDiv w:val="1"/>
      <w:marLeft w:val="0"/>
      <w:marRight w:val="0"/>
      <w:marTop w:val="0"/>
      <w:marBottom w:val="0"/>
      <w:divBdr>
        <w:top w:val="none" w:sz="0" w:space="0" w:color="auto"/>
        <w:left w:val="none" w:sz="0" w:space="0" w:color="auto"/>
        <w:bottom w:val="none" w:sz="0" w:space="0" w:color="auto"/>
        <w:right w:val="none" w:sz="0" w:space="0" w:color="auto"/>
      </w:divBdr>
    </w:div>
    <w:div w:id="1377269436">
      <w:bodyDiv w:val="1"/>
      <w:marLeft w:val="0"/>
      <w:marRight w:val="0"/>
      <w:marTop w:val="0"/>
      <w:marBottom w:val="0"/>
      <w:divBdr>
        <w:top w:val="none" w:sz="0" w:space="0" w:color="auto"/>
        <w:left w:val="none" w:sz="0" w:space="0" w:color="auto"/>
        <w:bottom w:val="none" w:sz="0" w:space="0" w:color="auto"/>
        <w:right w:val="none" w:sz="0" w:space="0" w:color="auto"/>
      </w:divBdr>
    </w:div>
    <w:div w:id="1409955934">
      <w:bodyDiv w:val="1"/>
      <w:marLeft w:val="0"/>
      <w:marRight w:val="0"/>
      <w:marTop w:val="0"/>
      <w:marBottom w:val="0"/>
      <w:divBdr>
        <w:top w:val="none" w:sz="0" w:space="0" w:color="auto"/>
        <w:left w:val="none" w:sz="0" w:space="0" w:color="auto"/>
        <w:bottom w:val="none" w:sz="0" w:space="0" w:color="auto"/>
        <w:right w:val="none" w:sz="0" w:space="0" w:color="auto"/>
      </w:divBdr>
    </w:div>
    <w:div w:id="1687245346">
      <w:bodyDiv w:val="1"/>
      <w:marLeft w:val="0"/>
      <w:marRight w:val="0"/>
      <w:marTop w:val="0"/>
      <w:marBottom w:val="0"/>
      <w:divBdr>
        <w:top w:val="none" w:sz="0" w:space="0" w:color="auto"/>
        <w:left w:val="none" w:sz="0" w:space="0" w:color="auto"/>
        <w:bottom w:val="none" w:sz="0" w:space="0" w:color="auto"/>
        <w:right w:val="none" w:sz="0" w:space="0" w:color="auto"/>
      </w:divBdr>
    </w:div>
    <w:div w:id="1734766381">
      <w:bodyDiv w:val="1"/>
      <w:marLeft w:val="0"/>
      <w:marRight w:val="0"/>
      <w:marTop w:val="0"/>
      <w:marBottom w:val="0"/>
      <w:divBdr>
        <w:top w:val="none" w:sz="0" w:space="0" w:color="auto"/>
        <w:left w:val="none" w:sz="0" w:space="0" w:color="auto"/>
        <w:bottom w:val="none" w:sz="0" w:space="0" w:color="auto"/>
        <w:right w:val="none" w:sz="0" w:space="0" w:color="auto"/>
      </w:divBdr>
    </w:div>
    <w:div w:id="1849052315">
      <w:bodyDiv w:val="1"/>
      <w:marLeft w:val="0"/>
      <w:marRight w:val="0"/>
      <w:marTop w:val="0"/>
      <w:marBottom w:val="0"/>
      <w:divBdr>
        <w:top w:val="none" w:sz="0" w:space="0" w:color="auto"/>
        <w:left w:val="none" w:sz="0" w:space="0" w:color="auto"/>
        <w:bottom w:val="none" w:sz="0" w:space="0" w:color="auto"/>
        <w:right w:val="none" w:sz="0" w:space="0" w:color="auto"/>
      </w:divBdr>
    </w:div>
    <w:div w:id="1918634869">
      <w:bodyDiv w:val="1"/>
      <w:marLeft w:val="0"/>
      <w:marRight w:val="0"/>
      <w:marTop w:val="0"/>
      <w:marBottom w:val="0"/>
      <w:divBdr>
        <w:top w:val="none" w:sz="0" w:space="0" w:color="auto"/>
        <w:left w:val="none" w:sz="0" w:space="0" w:color="auto"/>
        <w:bottom w:val="none" w:sz="0" w:space="0" w:color="auto"/>
        <w:right w:val="none" w:sz="0" w:space="0" w:color="auto"/>
      </w:divBdr>
    </w:div>
    <w:div w:id="1928617117">
      <w:bodyDiv w:val="1"/>
      <w:marLeft w:val="0"/>
      <w:marRight w:val="0"/>
      <w:marTop w:val="0"/>
      <w:marBottom w:val="0"/>
      <w:divBdr>
        <w:top w:val="none" w:sz="0" w:space="0" w:color="auto"/>
        <w:left w:val="none" w:sz="0" w:space="0" w:color="auto"/>
        <w:bottom w:val="none" w:sz="0" w:space="0" w:color="auto"/>
        <w:right w:val="none" w:sz="0" w:space="0" w:color="auto"/>
      </w:divBdr>
    </w:div>
    <w:div w:id="1929535084">
      <w:bodyDiv w:val="1"/>
      <w:marLeft w:val="0"/>
      <w:marRight w:val="0"/>
      <w:marTop w:val="0"/>
      <w:marBottom w:val="0"/>
      <w:divBdr>
        <w:top w:val="none" w:sz="0" w:space="0" w:color="auto"/>
        <w:left w:val="none" w:sz="0" w:space="0" w:color="auto"/>
        <w:bottom w:val="none" w:sz="0" w:space="0" w:color="auto"/>
        <w:right w:val="none" w:sz="0" w:space="0" w:color="auto"/>
      </w:divBdr>
    </w:div>
    <w:div w:id="1938176638">
      <w:bodyDiv w:val="1"/>
      <w:marLeft w:val="0"/>
      <w:marRight w:val="0"/>
      <w:marTop w:val="0"/>
      <w:marBottom w:val="0"/>
      <w:divBdr>
        <w:top w:val="none" w:sz="0" w:space="0" w:color="auto"/>
        <w:left w:val="none" w:sz="0" w:space="0" w:color="auto"/>
        <w:bottom w:val="none" w:sz="0" w:space="0" w:color="auto"/>
        <w:right w:val="none" w:sz="0" w:space="0" w:color="auto"/>
      </w:divBdr>
    </w:div>
    <w:div w:id="2064595902">
      <w:bodyDiv w:val="1"/>
      <w:marLeft w:val="0"/>
      <w:marRight w:val="0"/>
      <w:marTop w:val="0"/>
      <w:marBottom w:val="0"/>
      <w:divBdr>
        <w:top w:val="none" w:sz="0" w:space="0" w:color="auto"/>
        <w:left w:val="none" w:sz="0" w:space="0" w:color="auto"/>
        <w:bottom w:val="none" w:sz="0" w:space="0" w:color="auto"/>
        <w:right w:val="none" w:sz="0" w:space="0" w:color="auto"/>
      </w:divBdr>
    </w:div>
    <w:div w:id="210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DECANA</dc:creator>
  <cp:lastModifiedBy>Isabel García - Zarza Martínez</cp:lastModifiedBy>
  <cp:revision>2</cp:revision>
  <cp:lastPrinted>2022-04-26T09:41:00Z</cp:lastPrinted>
  <dcterms:created xsi:type="dcterms:W3CDTF">2023-11-27T13:37:00Z</dcterms:created>
  <dcterms:modified xsi:type="dcterms:W3CDTF">2023-11-27T13:37:00Z</dcterms:modified>
</cp:coreProperties>
</file>